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15492B" w14:textId="34239A03" w:rsidR="0019523F" w:rsidRPr="005F488E" w:rsidRDefault="00B64AAB" w:rsidP="0019523F">
      <w:pPr>
        <w:pStyle w:val="Title"/>
        <w:ind w:left="0" w:firstLine="0"/>
        <w:rPr>
          <w:rFonts w:ascii="Arial" w:hAnsi="Arial" w:cs="Arial"/>
          <w:color w:val="002060"/>
        </w:rPr>
      </w:pPr>
      <w:r>
        <w:rPr>
          <w:rFonts w:ascii="Arial" w:hAnsi="Arial" w:cs="Arial"/>
          <w:color w:val="002060"/>
        </w:rPr>
        <w:t>Gas Wholesale Consultative Forum</w:t>
      </w:r>
    </w:p>
    <w:p w14:paraId="4C15492C" w14:textId="77777777" w:rsidR="0019523F" w:rsidRPr="00435E02" w:rsidRDefault="0019523F" w:rsidP="0019523F">
      <w:pPr>
        <w:rPr>
          <w:sz w:val="18"/>
          <w:szCs w:val="18"/>
        </w:rPr>
      </w:pPr>
    </w:p>
    <w:tbl>
      <w:tblPr>
        <w:tblStyle w:val="TableGrid"/>
        <w:tblW w:w="0" w:type="auto"/>
        <w:tblBorders>
          <w:top w:val="single" w:sz="4" w:space="0" w:color="948671"/>
          <w:left w:val="single" w:sz="4" w:space="0" w:color="948671"/>
          <w:bottom w:val="single" w:sz="4" w:space="0" w:color="948671"/>
          <w:right w:val="single" w:sz="4" w:space="0" w:color="948671"/>
          <w:insideH w:val="single" w:sz="4" w:space="0" w:color="948671"/>
          <w:insideV w:val="single" w:sz="4" w:space="0" w:color="948671"/>
        </w:tblBorders>
        <w:tblLook w:val="04A0" w:firstRow="1" w:lastRow="0" w:firstColumn="1" w:lastColumn="0" w:noHBand="0" w:noVBand="1"/>
      </w:tblPr>
      <w:tblGrid>
        <w:gridCol w:w="1997"/>
        <w:gridCol w:w="7019"/>
      </w:tblGrid>
      <w:tr w:rsidR="00465B29" w:rsidRPr="008578EE" w14:paraId="4C15492F" w14:textId="77777777" w:rsidTr="007812EA">
        <w:tc>
          <w:tcPr>
            <w:tcW w:w="1997" w:type="dxa"/>
          </w:tcPr>
          <w:p w14:paraId="4C15492D" w14:textId="1CE3AEE2" w:rsidR="00465B29" w:rsidRPr="0063483D" w:rsidRDefault="00465B29" w:rsidP="00465B29">
            <w:pPr>
              <w:pStyle w:val="DataStyle"/>
              <w:rPr>
                <w:rFonts w:ascii="Arial" w:hAnsi="Arial" w:cs="Arial"/>
                <w:color w:val="002060"/>
                <w:sz w:val="22"/>
              </w:rPr>
            </w:pPr>
            <w:r w:rsidRPr="00D035AD">
              <w:rPr>
                <w:rFonts w:ascii="Arial" w:hAnsi="Arial" w:cs="Arial"/>
                <w:caps w:val="0"/>
                <w:color w:val="002060"/>
                <w:sz w:val="22"/>
              </w:rPr>
              <w:t>Paper</w:t>
            </w:r>
            <w:r w:rsidR="00B64AAB">
              <w:rPr>
                <w:rFonts w:ascii="Arial" w:hAnsi="Arial" w:cs="Arial"/>
                <w:caps w:val="0"/>
                <w:color w:val="002060"/>
                <w:sz w:val="22"/>
              </w:rPr>
              <w:t xml:space="preserve"> 3</w:t>
            </w:r>
            <w:r w:rsidRPr="0063483D">
              <w:rPr>
                <w:rFonts w:ascii="Arial" w:hAnsi="Arial" w:cs="Arial"/>
                <w:caps w:val="0"/>
                <w:color w:val="002060"/>
                <w:sz w:val="22"/>
              </w:rPr>
              <w:t>:</w:t>
            </w:r>
          </w:p>
        </w:tc>
        <w:tc>
          <w:tcPr>
            <w:tcW w:w="7019" w:type="dxa"/>
          </w:tcPr>
          <w:p w14:paraId="4C15492E" w14:textId="783FAA96" w:rsidR="00465B29" w:rsidRPr="00F61D8D" w:rsidRDefault="00B64AAB" w:rsidP="00465B29">
            <w:pPr>
              <w:pStyle w:val="DataStyle"/>
              <w:rPr>
                <w:rFonts w:ascii="Arial" w:hAnsi="Arial" w:cs="Arial"/>
                <w:caps w:val="0"/>
                <w:color w:val="002060"/>
                <w:sz w:val="22"/>
              </w:rPr>
            </w:pPr>
            <w:r>
              <w:rPr>
                <w:rFonts w:ascii="Arial" w:hAnsi="Arial" w:cs="Arial"/>
                <w:caps w:val="0"/>
                <w:color w:val="002060"/>
                <w:sz w:val="22"/>
              </w:rPr>
              <w:t>STTM Allocation Warning Limits.</w:t>
            </w:r>
          </w:p>
        </w:tc>
      </w:tr>
      <w:tr w:rsidR="00465B29" w:rsidRPr="008578EE" w14:paraId="4C154932" w14:textId="77777777" w:rsidTr="007812EA">
        <w:tc>
          <w:tcPr>
            <w:tcW w:w="1997" w:type="dxa"/>
          </w:tcPr>
          <w:p w14:paraId="4C154930" w14:textId="3591A0CC" w:rsidR="00465B29" w:rsidRPr="0063483D" w:rsidRDefault="00465B29" w:rsidP="00465B29">
            <w:pPr>
              <w:pStyle w:val="DataStyle"/>
              <w:rPr>
                <w:rFonts w:ascii="Arial" w:hAnsi="Arial" w:cs="Arial"/>
                <w:caps w:val="0"/>
                <w:color w:val="002060"/>
                <w:sz w:val="22"/>
              </w:rPr>
            </w:pPr>
            <w:r w:rsidRPr="0063483D">
              <w:rPr>
                <w:rFonts w:ascii="Arial" w:hAnsi="Arial" w:cs="Arial"/>
                <w:caps w:val="0"/>
                <w:color w:val="002060"/>
                <w:sz w:val="22"/>
              </w:rPr>
              <w:t>Agenda</w:t>
            </w:r>
            <w:r w:rsidR="00B64AAB">
              <w:rPr>
                <w:rFonts w:ascii="Arial" w:hAnsi="Arial" w:cs="Arial"/>
                <w:caps w:val="0"/>
                <w:color w:val="002060"/>
                <w:sz w:val="22"/>
              </w:rPr>
              <w:t xml:space="preserve"> Item</w:t>
            </w:r>
            <w:r w:rsidRPr="0063483D">
              <w:rPr>
                <w:rFonts w:ascii="Arial" w:hAnsi="Arial" w:cs="Arial"/>
                <w:caps w:val="0"/>
                <w:color w:val="002060"/>
                <w:sz w:val="22"/>
              </w:rPr>
              <w:t xml:space="preserve">: </w:t>
            </w:r>
          </w:p>
        </w:tc>
        <w:tc>
          <w:tcPr>
            <w:tcW w:w="7019" w:type="dxa"/>
          </w:tcPr>
          <w:p w14:paraId="4C154931" w14:textId="5FFE62D7" w:rsidR="00465B29" w:rsidRPr="00F61D8D" w:rsidRDefault="00B64AAB" w:rsidP="00465B29">
            <w:pPr>
              <w:pStyle w:val="DataStyle"/>
              <w:tabs>
                <w:tab w:val="right" w:pos="7040"/>
              </w:tabs>
              <w:rPr>
                <w:rFonts w:ascii="Arial" w:hAnsi="Arial" w:cs="Arial"/>
                <w:color w:val="002060"/>
                <w:sz w:val="22"/>
              </w:rPr>
            </w:pPr>
            <w:r>
              <w:rPr>
                <w:rFonts w:ascii="Arial" w:hAnsi="Arial" w:cs="Arial"/>
                <w:color w:val="002060"/>
                <w:sz w:val="22"/>
              </w:rPr>
              <w:t>6.</w:t>
            </w:r>
          </w:p>
        </w:tc>
      </w:tr>
      <w:tr w:rsidR="00465B29" w:rsidRPr="008578EE" w14:paraId="4C154935" w14:textId="77777777" w:rsidTr="007812EA">
        <w:tc>
          <w:tcPr>
            <w:tcW w:w="1997" w:type="dxa"/>
          </w:tcPr>
          <w:p w14:paraId="4C154933" w14:textId="77777777" w:rsidR="00465B29" w:rsidRPr="0063483D" w:rsidRDefault="00465B29" w:rsidP="00465B29">
            <w:pPr>
              <w:pStyle w:val="DataStyle"/>
              <w:rPr>
                <w:rFonts w:ascii="Arial" w:hAnsi="Arial" w:cs="Arial"/>
                <w:color w:val="002060"/>
                <w:sz w:val="22"/>
              </w:rPr>
            </w:pPr>
            <w:r w:rsidRPr="0063483D">
              <w:rPr>
                <w:rFonts w:ascii="Arial" w:hAnsi="Arial" w:cs="Arial"/>
                <w:caps w:val="0"/>
                <w:color w:val="002060"/>
                <w:sz w:val="22"/>
              </w:rPr>
              <w:t xml:space="preserve">Date: </w:t>
            </w:r>
          </w:p>
        </w:tc>
        <w:tc>
          <w:tcPr>
            <w:tcW w:w="7019" w:type="dxa"/>
          </w:tcPr>
          <w:p w14:paraId="4C154934" w14:textId="278D806E" w:rsidR="00465B29" w:rsidRPr="00F61D8D" w:rsidRDefault="00B64AAB" w:rsidP="00465B29">
            <w:pPr>
              <w:pStyle w:val="DataStyle"/>
              <w:tabs>
                <w:tab w:val="right" w:pos="7040"/>
              </w:tabs>
              <w:rPr>
                <w:rFonts w:ascii="Arial" w:hAnsi="Arial" w:cs="Arial"/>
                <w:caps w:val="0"/>
                <w:color w:val="002060"/>
                <w:sz w:val="22"/>
              </w:rPr>
            </w:pPr>
            <w:r>
              <w:rPr>
                <w:rFonts w:ascii="Arial" w:hAnsi="Arial"/>
                <w:caps w:val="0"/>
                <w:color w:val="002060"/>
                <w:sz w:val="22"/>
              </w:rPr>
              <w:t xml:space="preserve">Tuesday </w:t>
            </w:r>
            <w:r w:rsidR="002F281D">
              <w:rPr>
                <w:rFonts w:ascii="Arial" w:hAnsi="Arial"/>
                <w:caps w:val="0"/>
                <w:color w:val="002060"/>
                <w:sz w:val="22"/>
              </w:rPr>
              <w:t>12 June 2018</w:t>
            </w:r>
            <w:r w:rsidR="00465B29" w:rsidRPr="00190D7B">
              <w:rPr>
                <w:rFonts w:ascii="Arial" w:hAnsi="Arial"/>
                <w:caps w:val="0"/>
                <w:color w:val="002060"/>
                <w:sz w:val="22"/>
              </w:rPr>
              <w:t>.</w:t>
            </w:r>
          </w:p>
        </w:tc>
      </w:tr>
    </w:tbl>
    <w:p w14:paraId="4C154936" w14:textId="771ED386" w:rsidR="00465B29" w:rsidRDefault="00465B29" w:rsidP="00465B29">
      <w:pPr>
        <w:pStyle w:val="Heading1"/>
        <w:numPr>
          <w:ilvl w:val="0"/>
          <w:numId w:val="0"/>
        </w:numPr>
        <w:ind w:left="567" w:hanging="567"/>
      </w:pPr>
      <w:r>
        <w:t xml:space="preserve">Agenda item </w:t>
      </w:r>
      <w:r w:rsidR="00B64AAB">
        <w:t>6</w:t>
      </w:r>
      <w:r w:rsidR="002F281D">
        <w:t xml:space="preserve"> – STTM ALLOCATION WARNING LIMIT</w:t>
      </w:r>
    </w:p>
    <w:p w14:paraId="4C154937" w14:textId="4571B1E9" w:rsidR="0057724D" w:rsidRDefault="002F281D" w:rsidP="00211F75">
      <w:pPr>
        <w:pStyle w:val="BodyText"/>
        <w:numPr>
          <w:ilvl w:val="0"/>
          <w:numId w:val="18"/>
        </w:numPr>
        <w:rPr>
          <w:rFonts w:ascii="Arial" w:hAnsi="Arial" w:cs="Arial"/>
        </w:rPr>
      </w:pPr>
      <w:r>
        <w:rPr>
          <w:rFonts w:ascii="Arial" w:hAnsi="Arial" w:cs="Arial"/>
        </w:rPr>
        <w:t>AEMO is</w:t>
      </w:r>
      <w:r w:rsidRPr="002F281D">
        <w:rPr>
          <w:rFonts w:ascii="Arial" w:hAnsi="Arial" w:cs="Arial"/>
        </w:rPr>
        <w:t xml:space="preserve"> looking at adding another level of validation </w:t>
      </w:r>
      <w:r>
        <w:rPr>
          <w:rFonts w:ascii="Arial" w:hAnsi="Arial" w:cs="Arial"/>
        </w:rPr>
        <w:t xml:space="preserve">when a PAD </w:t>
      </w:r>
      <w:r w:rsidR="00211F75">
        <w:rPr>
          <w:rFonts w:ascii="Arial" w:hAnsi="Arial" w:cs="Arial"/>
        </w:rPr>
        <w:t>(</w:t>
      </w:r>
      <w:r w:rsidR="00211F75" w:rsidRPr="00211F75">
        <w:rPr>
          <w:rFonts w:ascii="Arial" w:hAnsi="Arial" w:cs="Arial"/>
        </w:rPr>
        <w:t>Facility Allocatio</w:t>
      </w:r>
      <w:r w:rsidR="00211F75">
        <w:rPr>
          <w:rFonts w:ascii="Arial" w:hAnsi="Arial" w:cs="Arial"/>
        </w:rPr>
        <w:t xml:space="preserve">n </w:t>
      </w:r>
      <w:r w:rsidR="00211F75" w:rsidRPr="00211F75">
        <w:rPr>
          <w:rFonts w:ascii="Arial" w:hAnsi="Arial" w:cs="Arial"/>
        </w:rPr>
        <w:t>Daily</w:t>
      </w:r>
      <w:r w:rsidR="00211F75">
        <w:rPr>
          <w:rFonts w:ascii="Arial" w:hAnsi="Arial" w:cs="Arial"/>
        </w:rPr>
        <w:t xml:space="preserve">) file </w:t>
      </w:r>
      <w:r>
        <w:rPr>
          <w:rFonts w:ascii="Arial" w:hAnsi="Arial" w:cs="Arial"/>
        </w:rPr>
        <w:t>is submitted. The validation will be a warning when</w:t>
      </w:r>
      <w:r w:rsidRPr="002F281D">
        <w:rPr>
          <w:rFonts w:ascii="Arial" w:hAnsi="Arial" w:cs="Arial"/>
        </w:rPr>
        <w:t xml:space="preserve"> comparing the allocation</w:t>
      </w:r>
      <w:r w:rsidR="00C74685">
        <w:rPr>
          <w:rFonts w:ascii="Arial" w:hAnsi="Arial" w:cs="Arial"/>
        </w:rPr>
        <w:t xml:space="preserve"> </w:t>
      </w:r>
      <w:r w:rsidRPr="002F281D">
        <w:rPr>
          <w:rFonts w:ascii="Arial" w:hAnsi="Arial" w:cs="Arial"/>
        </w:rPr>
        <w:t xml:space="preserve">to the schedule, </w:t>
      </w:r>
      <w:r w:rsidR="007812EA" w:rsidRPr="002F281D">
        <w:rPr>
          <w:rFonts w:ascii="Arial" w:hAnsi="Arial" w:cs="Arial"/>
        </w:rPr>
        <w:t>e.g.</w:t>
      </w:r>
      <w:r w:rsidRPr="002F281D">
        <w:rPr>
          <w:rFonts w:ascii="Arial" w:hAnsi="Arial" w:cs="Arial"/>
        </w:rPr>
        <w:t>: If the allocation is outside</w:t>
      </w:r>
      <w:r>
        <w:rPr>
          <w:rFonts w:ascii="Arial" w:hAnsi="Arial" w:cs="Arial"/>
        </w:rPr>
        <w:t>, say</w:t>
      </w:r>
      <w:r w:rsidRPr="002F281D">
        <w:rPr>
          <w:rFonts w:ascii="Arial" w:hAnsi="Arial" w:cs="Arial"/>
        </w:rPr>
        <w:t xml:space="preserve"> +/- 10% of the schedule, then a</w:t>
      </w:r>
      <w:r>
        <w:rPr>
          <w:rFonts w:ascii="Arial" w:hAnsi="Arial" w:cs="Arial"/>
        </w:rPr>
        <w:t xml:space="preserve"> </w:t>
      </w:r>
      <w:r w:rsidRPr="002F281D">
        <w:rPr>
          <w:rFonts w:ascii="Arial" w:hAnsi="Arial" w:cs="Arial"/>
        </w:rPr>
        <w:t xml:space="preserve">warning </w:t>
      </w:r>
      <w:r>
        <w:rPr>
          <w:rFonts w:ascii="Arial" w:hAnsi="Arial" w:cs="Arial"/>
        </w:rPr>
        <w:t xml:space="preserve">could be </w:t>
      </w:r>
      <w:r w:rsidRPr="002F281D">
        <w:rPr>
          <w:rFonts w:ascii="Arial" w:hAnsi="Arial" w:cs="Arial"/>
        </w:rPr>
        <w:t xml:space="preserve">issued </w:t>
      </w:r>
      <w:r>
        <w:rPr>
          <w:rFonts w:ascii="Arial" w:hAnsi="Arial" w:cs="Arial"/>
        </w:rPr>
        <w:t>at the time of submission</w:t>
      </w:r>
      <w:r w:rsidRPr="002F281D">
        <w:rPr>
          <w:rFonts w:ascii="Arial" w:hAnsi="Arial" w:cs="Arial"/>
        </w:rPr>
        <w:t>.</w:t>
      </w:r>
      <w:r>
        <w:rPr>
          <w:rFonts w:ascii="Arial" w:hAnsi="Arial" w:cs="Arial"/>
        </w:rPr>
        <w:t xml:space="preserve"> There is a similar warning issued </w:t>
      </w:r>
      <w:r w:rsidR="006368AF">
        <w:rPr>
          <w:rFonts w:ascii="Arial" w:hAnsi="Arial" w:cs="Arial"/>
        </w:rPr>
        <w:t xml:space="preserve">when </w:t>
      </w:r>
      <w:r w:rsidR="00211F75">
        <w:rPr>
          <w:rFonts w:ascii="Arial" w:hAnsi="Arial" w:cs="Arial"/>
        </w:rPr>
        <w:t>FHC (</w:t>
      </w:r>
      <w:r>
        <w:rPr>
          <w:rFonts w:ascii="Arial" w:hAnsi="Arial" w:cs="Arial"/>
        </w:rPr>
        <w:t>Facility Hub Capacity</w:t>
      </w:r>
      <w:r w:rsidR="00211F75">
        <w:rPr>
          <w:rFonts w:ascii="Arial" w:hAnsi="Arial" w:cs="Arial"/>
        </w:rPr>
        <w:t>)</w:t>
      </w:r>
      <w:r>
        <w:rPr>
          <w:rFonts w:ascii="Arial" w:hAnsi="Arial" w:cs="Arial"/>
        </w:rPr>
        <w:t xml:space="preserve"> files are submitted</w:t>
      </w:r>
      <w:r w:rsidR="00E548B1">
        <w:rPr>
          <w:rFonts w:ascii="Arial" w:hAnsi="Arial" w:cs="Arial"/>
        </w:rPr>
        <w:t xml:space="preserve"> (see Page 59 of the ‘Technical Guide to the STTM’)</w:t>
      </w:r>
      <w:r>
        <w:rPr>
          <w:rFonts w:ascii="Arial" w:hAnsi="Arial" w:cs="Arial"/>
        </w:rPr>
        <w:t>.</w:t>
      </w:r>
    </w:p>
    <w:p w14:paraId="4C154938" w14:textId="635A5A9B" w:rsidR="00107A1D" w:rsidRDefault="00211F75" w:rsidP="00211F75">
      <w:pPr>
        <w:pStyle w:val="BodyText"/>
        <w:numPr>
          <w:ilvl w:val="0"/>
          <w:numId w:val="18"/>
        </w:numPr>
        <w:rPr>
          <w:rFonts w:ascii="Arial" w:hAnsi="Arial" w:cs="Arial"/>
        </w:rPr>
      </w:pPr>
      <w:r>
        <w:rPr>
          <w:rFonts w:ascii="Arial" w:hAnsi="Arial" w:cs="Arial"/>
        </w:rPr>
        <w:t>The reason</w:t>
      </w:r>
      <w:r w:rsidRPr="00211F75">
        <w:rPr>
          <w:rFonts w:ascii="Arial" w:hAnsi="Arial" w:cs="Arial"/>
        </w:rPr>
        <w:t xml:space="preserve"> </w:t>
      </w:r>
      <w:r>
        <w:rPr>
          <w:rFonts w:ascii="Arial" w:hAnsi="Arial" w:cs="Arial"/>
        </w:rPr>
        <w:t xml:space="preserve">AEMO </w:t>
      </w:r>
      <w:r w:rsidRPr="00211F75">
        <w:rPr>
          <w:rFonts w:ascii="Arial" w:hAnsi="Arial" w:cs="Arial"/>
        </w:rPr>
        <w:t>would like to do this is to prevent what happened in the Sydney Hub on the 19</w:t>
      </w:r>
      <w:r w:rsidRPr="00211F75">
        <w:rPr>
          <w:rFonts w:ascii="Arial" w:hAnsi="Arial" w:cs="Arial"/>
          <w:vertAlign w:val="superscript"/>
        </w:rPr>
        <w:t>th</w:t>
      </w:r>
      <w:r>
        <w:rPr>
          <w:rFonts w:ascii="Arial" w:hAnsi="Arial" w:cs="Arial"/>
        </w:rPr>
        <w:t xml:space="preserve"> </w:t>
      </w:r>
      <w:r w:rsidRPr="00211F75">
        <w:rPr>
          <w:rFonts w:ascii="Arial" w:hAnsi="Arial" w:cs="Arial"/>
        </w:rPr>
        <w:t>July</w:t>
      </w:r>
      <w:r w:rsidR="00E548B1">
        <w:rPr>
          <w:rFonts w:ascii="Arial" w:hAnsi="Arial" w:cs="Arial"/>
        </w:rPr>
        <w:t xml:space="preserve"> 2017</w:t>
      </w:r>
      <w:r w:rsidRPr="00211F75">
        <w:rPr>
          <w:rFonts w:ascii="Arial" w:hAnsi="Arial" w:cs="Arial"/>
        </w:rPr>
        <w:t>, whe</w:t>
      </w:r>
      <w:r>
        <w:rPr>
          <w:rFonts w:ascii="Arial" w:hAnsi="Arial" w:cs="Arial"/>
        </w:rPr>
        <w:t>n</w:t>
      </w:r>
      <w:r w:rsidRPr="00211F75">
        <w:rPr>
          <w:rFonts w:ascii="Arial" w:hAnsi="Arial" w:cs="Arial"/>
        </w:rPr>
        <w:t xml:space="preserve"> AGL submitted an incorrect allocation</w:t>
      </w:r>
      <w:r w:rsidR="006368AF">
        <w:rPr>
          <w:rFonts w:ascii="Arial" w:hAnsi="Arial" w:cs="Arial"/>
        </w:rPr>
        <w:t xml:space="preserve"> for NGSF</w:t>
      </w:r>
      <w:r w:rsidRPr="00211F75">
        <w:rPr>
          <w:rFonts w:ascii="Arial" w:hAnsi="Arial" w:cs="Arial"/>
        </w:rPr>
        <w:t>, but their actual allocation was very close to their scheduled amount.</w:t>
      </w:r>
      <w:r w:rsidR="00C74685">
        <w:rPr>
          <w:rFonts w:ascii="Arial" w:hAnsi="Arial" w:cs="Arial"/>
        </w:rPr>
        <w:t xml:space="preserve"> Incorrect PAD information can </w:t>
      </w:r>
      <w:proofErr w:type="gramStart"/>
      <w:r w:rsidR="00C74685">
        <w:rPr>
          <w:rFonts w:ascii="Arial" w:hAnsi="Arial" w:cs="Arial"/>
        </w:rPr>
        <w:t>have an effect on</w:t>
      </w:r>
      <w:proofErr w:type="gramEnd"/>
      <w:r w:rsidR="00C74685">
        <w:rPr>
          <w:rFonts w:ascii="Arial" w:hAnsi="Arial" w:cs="Arial"/>
        </w:rPr>
        <w:t xml:space="preserve"> the Ex-Post Price. An incorrect Ex-Post Price cannot be changed </w:t>
      </w:r>
      <w:r w:rsidR="00E548B1">
        <w:rPr>
          <w:rFonts w:ascii="Arial" w:hAnsi="Arial" w:cs="Arial"/>
        </w:rPr>
        <w:t>once published, even after</w:t>
      </w:r>
      <w:r w:rsidR="00C74685">
        <w:rPr>
          <w:rFonts w:ascii="Arial" w:hAnsi="Arial" w:cs="Arial"/>
        </w:rPr>
        <w:t xml:space="preserve"> correct data is received.</w:t>
      </w:r>
    </w:p>
    <w:p w14:paraId="5CD80F87" w14:textId="4A8CB865" w:rsidR="00211F75" w:rsidRPr="00211F75" w:rsidRDefault="00211F75" w:rsidP="00211F75">
      <w:pPr>
        <w:pStyle w:val="BodyText"/>
        <w:numPr>
          <w:ilvl w:val="0"/>
          <w:numId w:val="18"/>
        </w:numPr>
        <w:rPr>
          <w:rFonts w:ascii="Arial" w:hAnsi="Arial" w:cs="Arial"/>
        </w:rPr>
      </w:pPr>
      <w:r>
        <w:rPr>
          <w:rFonts w:ascii="Arial" w:hAnsi="Arial" w:cs="Arial"/>
        </w:rPr>
        <w:t>AEMO</w:t>
      </w:r>
      <w:r w:rsidRPr="00211F75">
        <w:rPr>
          <w:rFonts w:ascii="Arial" w:hAnsi="Arial" w:cs="Arial"/>
        </w:rPr>
        <w:t xml:space="preserve"> anticipate</w:t>
      </w:r>
      <w:r>
        <w:rPr>
          <w:rFonts w:ascii="Arial" w:hAnsi="Arial" w:cs="Arial"/>
        </w:rPr>
        <w:t>s</w:t>
      </w:r>
      <w:r w:rsidRPr="00211F75">
        <w:rPr>
          <w:rFonts w:ascii="Arial" w:hAnsi="Arial" w:cs="Arial"/>
        </w:rPr>
        <w:t xml:space="preserve"> that this warning will rarely be breached by participants, </w:t>
      </w:r>
      <w:r w:rsidR="00C74685">
        <w:rPr>
          <w:rFonts w:ascii="Arial" w:hAnsi="Arial" w:cs="Arial"/>
        </w:rPr>
        <w:t>but because of the effect on the Ex-Post Price and therefore Deviation Price, AEMO would like to seek feedback from Participants whether this warning is to be implemented</w:t>
      </w:r>
      <w:r w:rsidRPr="00211F75">
        <w:rPr>
          <w:rFonts w:ascii="Arial" w:hAnsi="Arial" w:cs="Arial"/>
        </w:rPr>
        <w:t>.</w:t>
      </w:r>
    </w:p>
    <w:p w14:paraId="0211A240" w14:textId="1E2B6225" w:rsidR="00C74685" w:rsidRDefault="00211F75" w:rsidP="00211F75">
      <w:pPr>
        <w:pStyle w:val="BodyText"/>
        <w:numPr>
          <w:ilvl w:val="0"/>
          <w:numId w:val="18"/>
        </w:numPr>
        <w:rPr>
          <w:rFonts w:ascii="Arial" w:hAnsi="Arial" w:cs="Arial"/>
        </w:rPr>
      </w:pPr>
      <w:r w:rsidRPr="00C74685">
        <w:rPr>
          <w:rFonts w:ascii="Arial" w:hAnsi="Arial" w:cs="Arial"/>
        </w:rPr>
        <w:t xml:space="preserve">Some internal </w:t>
      </w:r>
      <w:r w:rsidR="007812EA">
        <w:rPr>
          <w:rFonts w:ascii="Arial" w:hAnsi="Arial" w:cs="Arial"/>
        </w:rPr>
        <w:t xml:space="preserve">and external </w:t>
      </w:r>
      <w:r w:rsidR="00C74685">
        <w:rPr>
          <w:rFonts w:ascii="Arial" w:hAnsi="Arial" w:cs="Arial"/>
        </w:rPr>
        <w:t xml:space="preserve">IT </w:t>
      </w:r>
      <w:r w:rsidRPr="00C74685">
        <w:rPr>
          <w:rFonts w:ascii="Arial" w:hAnsi="Arial" w:cs="Arial"/>
        </w:rPr>
        <w:t xml:space="preserve">changes </w:t>
      </w:r>
      <w:r w:rsidR="00C74685" w:rsidRPr="00C74685">
        <w:rPr>
          <w:rFonts w:ascii="Arial" w:hAnsi="Arial" w:cs="Arial"/>
        </w:rPr>
        <w:t>(</w:t>
      </w:r>
      <w:r w:rsidR="007812EA">
        <w:rPr>
          <w:rFonts w:ascii="Arial" w:hAnsi="Arial" w:cs="Arial"/>
        </w:rPr>
        <w:t>e.g.</w:t>
      </w:r>
      <w:r w:rsidR="00C74685" w:rsidRPr="00C74685">
        <w:rPr>
          <w:rFonts w:ascii="Arial" w:hAnsi="Arial" w:cs="Arial"/>
        </w:rPr>
        <w:t xml:space="preserve"> SWEX, SWEXIE)</w:t>
      </w:r>
      <w:r w:rsidR="00C74685">
        <w:rPr>
          <w:rFonts w:ascii="Arial" w:hAnsi="Arial" w:cs="Arial"/>
        </w:rPr>
        <w:t xml:space="preserve"> </w:t>
      </w:r>
      <w:r w:rsidRPr="00C74685">
        <w:rPr>
          <w:rFonts w:ascii="Arial" w:hAnsi="Arial" w:cs="Arial"/>
        </w:rPr>
        <w:t xml:space="preserve">would need to </w:t>
      </w:r>
      <w:r w:rsidR="00C74685" w:rsidRPr="00C74685">
        <w:rPr>
          <w:rFonts w:ascii="Arial" w:hAnsi="Arial" w:cs="Arial"/>
        </w:rPr>
        <w:t xml:space="preserve">be </w:t>
      </w:r>
      <w:r w:rsidRPr="00C74685">
        <w:rPr>
          <w:rFonts w:ascii="Arial" w:hAnsi="Arial" w:cs="Arial"/>
        </w:rPr>
        <w:t xml:space="preserve">made to </w:t>
      </w:r>
      <w:r w:rsidR="00C74685">
        <w:rPr>
          <w:rFonts w:ascii="Arial" w:hAnsi="Arial" w:cs="Arial"/>
        </w:rPr>
        <w:t>implement</w:t>
      </w:r>
      <w:r w:rsidRPr="00C74685">
        <w:rPr>
          <w:rFonts w:ascii="Arial" w:hAnsi="Arial" w:cs="Arial"/>
        </w:rPr>
        <w:t xml:space="preserve"> this </w:t>
      </w:r>
      <w:r w:rsidR="00C74685">
        <w:rPr>
          <w:rFonts w:ascii="Arial" w:hAnsi="Arial" w:cs="Arial"/>
        </w:rPr>
        <w:t>change</w:t>
      </w:r>
      <w:r w:rsidRPr="00C74685">
        <w:rPr>
          <w:rFonts w:ascii="Arial" w:hAnsi="Arial" w:cs="Arial"/>
        </w:rPr>
        <w:t xml:space="preserve">, as well as changes to </w:t>
      </w:r>
      <w:r w:rsidR="00C74685" w:rsidRPr="00C74685">
        <w:rPr>
          <w:rFonts w:ascii="Arial" w:hAnsi="Arial" w:cs="Arial"/>
        </w:rPr>
        <w:t>related documents (e.g.: Procedures, Build Packs).</w:t>
      </w:r>
      <w:r w:rsidR="00C74685">
        <w:rPr>
          <w:rFonts w:ascii="Arial" w:hAnsi="Arial" w:cs="Arial"/>
        </w:rPr>
        <w:t xml:space="preserve"> </w:t>
      </w:r>
      <w:r w:rsidR="00C74685" w:rsidRPr="00C74685">
        <w:rPr>
          <w:rFonts w:ascii="Arial" w:hAnsi="Arial" w:cs="Arial"/>
        </w:rPr>
        <w:t>The Internal AEMO cost of implementing this change is ~$50,000</w:t>
      </w:r>
      <w:r w:rsidR="00C74685">
        <w:rPr>
          <w:rFonts w:ascii="Arial" w:hAnsi="Arial" w:cs="Arial"/>
        </w:rPr>
        <w:t>.</w:t>
      </w:r>
    </w:p>
    <w:p w14:paraId="35DC5D42" w14:textId="6650F5DF" w:rsidR="00C74685" w:rsidRDefault="007812EA" w:rsidP="007812EA">
      <w:pPr>
        <w:pStyle w:val="BodyText"/>
        <w:numPr>
          <w:ilvl w:val="0"/>
          <w:numId w:val="18"/>
        </w:numPr>
        <w:rPr>
          <w:rFonts w:ascii="Arial" w:hAnsi="Arial" w:cs="Arial"/>
        </w:rPr>
      </w:pPr>
      <w:r>
        <w:rPr>
          <w:rFonts w:ascii="Arial" w:hAnsi="Arial" w:cs="Arial"/>
        </w:rPr>
        <w:t>Another</w:t>
      </w:r>
      <w:r w:rsidRPr="007812EA">
        <w:rPr>
          <w:rFonts w:ascii="Arial" w:hAnsi="Arial" w:cs="Arial"/>
        </w:rPr>
        <w:t xml:space="preserve"> impact of an incorrect allocation is that the distribution system allocations are scaled (see point 3 on page 101 of the ‘Technical Guide’), the result being that a reduction in supply is seen to lower the price because the demand is lower</w:t>
      </w:r>
      <w:r>
        <w:rPr>
          <w:rFonts w:ascii="Arial" w:hAnsi="Arial" w:cs="Arial"/>
        </w:rPr>
        <w:t xml:space="preserve">ed. </w:t>
      </w:r>
      <w:r w:rsidR="008534B2">
        <w:rPr>
          <w:rFonts w:ascii="Arial" w:hAnsi="Arial" w:cs="Arial"/>
        </w:rPr>
        <w:t>(</w:t>
      </w:r>
      <w:r w:rsidR="00E548B1">
        <w:rPr>
          <w:rFonts w:ascii="Arial" w:hAnsi="Arial" w:cs="Arial"/>
        </w:rPr>
        <w:t xml:space="preserve">If no PAD is received, then a </w:t>
      </w:r>
      <w:r w:rsidRPr="007812EA">
        <w:rPr>
          <w:rFonts w:ascii="Arial" w:hAnsi="Arial" w:cs="Arial"/>
        </w:rPr>
        <w:t>null entry would result in a default allocation.</w:t>
      </w:r>
      <w:r w:rsidR="008534B2">
        <w:rPr>
          <w:rFonts w:ascii="Arial" w:hAnsi="Arial" w:cs="Arial"/>
        </w:rPr>
        <w:t>)</w:t>
      </w:r>
    </w:p>
    <w:p w14:paraId="4C15493A" w14:textId="3D7EEBD6" w:rsidR="00A10DB3" w:rsidRPr="00CA58BC" w:rsidRDefault="007812EA" w:rsidP="00CA58BC">
      <w:pPr>
        <w:pStyle w:val="BodyText"/>
        <w:numPr>
          <w:ilvl w:val="0"/>
          <w:numId w:val="18"/>
        </w:numPr>
        <w:rPr>
          <w:rFonts w:ascii="Arial" w:hAnsi="Arial" w:cs="Arial"/>
        </w:rPr>
      </w:pPr>
      <w:r>
        <w:rPr>
          <w:rFonts w:ascii="Arial" w:hAnsi="Arial" w:cs="Arial"/>
        </w:rPr>
        <w:t xml:space="preserve">Please provide feedback to </w:t>
      </w:r>
      <w:hyperlink r:id="rId14" w:history="1">
        <w:r w:rsidRPr="005D7AB0">
          <w:rPr>
            <w:rStyle w:val="Hyperlink"/>
            <w:rFonts w:ascii="Arial" w:hAnsi="Arial" w:cs="Arial"/>
          </w:rPr>
          <w:t>saul.milner@aemo.com.au</w:t>
        </w:r>
      </w:hyperlink>
      <w:r w:rsidR="008534B2">
        <w:rPr>
          <w:rFonts w:ascii="Arial" w:hAnsi="Arial" w:cs="Arial"/>
        </w:rPr>
        <w:t xml:space="preserve"> before the next GWCF:</w:t>
      </w:r>
    </w:p>
    <w:p w14:paraId="61FD0FC5" w14:textId="18467EA8" w:rsidR="00CA58BC" w:rsidRDefault="00CA58BC" w:rsidP="00E1349A">
      <w:pPr>
        <w:pStyle w:val="BodyText"/>
        <w:numPr>
          <w:ilvl w:val="1"/>
          <w:numId w:val="18"/>
        </w:numPr>
        <w:rPr>
          <w:rFonts w:ascii="Arial" w:hAnsi="Arial" w:cs="Arial"/>
        </w:rPr>
      </w:pPr>
      <w:r>
        <w:rPr>
          <w:rFonts w:ascii="Arial" w:hAnsi="Arial" w:cs="Arial"/>
        </w:rPr>
        <w:t xml:space="preserve">What is the estimate cost to your organisation of implementing this </w:t>
      </w:r>
      <w:r w:rsidR="00E548B1">
        <w:rPr>
          <w:rFonts w:ascii="Arial" w:hAnsi="Arial" w:cs="Arial"/>
        </w:rPr>
        <w:t>warning validation for PAD files</w:t>
      </w:r>
      <w:r>
        <w:rPr>
          <w:rFonts w:ascii="Arial" w:hAnsi="Arial" w:cs="Arial"/>
        </w:rPr>
        <w:t xml:space="preserve">? </w:t>
      </w:r>
    </w:p>
    <w:p w14:paraId="4C15493B" w14:textId="6CD5D298" w:rsidR="00465B29" w:rsidRDefault="007812EA" w:rsidP="00E1349A">
      <w:pPr>
        <w:pStyle w:val="BodyText"/>
        <w:numPr>
          <w:ilvl w:val="1"/>
          <w:numId w:val="18"/>
        </w:numPr>
        <w:rPr>
          <w:rFonts w:ascii="Arial" w:hAnsi="Arial" w:cs="Arial"/>
        </w:rPr>
      </w:pPr>
      <w:r>
        <w:rPr>
          <w:rFonts w:ascii="Arial" w:hAnsi="Arial" w:cs="Arial"/>
        </w:rPr>
        <w:t>Do you feel the</w:t>
      </w:r>
      <w:r w:rsidR="001F5416">
        <w:rPr>
          <w:rFonts w:ascii="Arial" w:hAnsi="Arial" w:cs="Arial"/>
        </w:rPr>
        <w:t xml:space="preserve">re is a net benefit to your </w:t>
      </w:r>
      <w:r w:rsidR="00CA58BC">
        <w:rPr>
          <w:rFonts w:ascii="Arial" w:hAnsi="Arial" w:cs="Arial"/>
        </w:rPr>
        <w:t>organisation</w:t>
      </w:r>
      <w:r w:rsidR="001F5416">
        <w:rPr>
          <w:rFonts w:ascii="Arial" w:hAnsi="Arial" w:cs="Arial"/>
        </w:rPr>
        <w:t xml:space="preserve"> </w:t>
      </w:r>
      <w:r w:rsidR="00CA58BC">
        <w:rPr>
          <w:rFonts w:ascii="Arial" w:hAnsi="Arial" w:cs="Arial"/>
        </w:rPr>
        <w:t>of</w:t>
      </w:r>
      <w:r w:rsidR="001F5416">
        <w:rPr>
          <w:rFonts w:ascii="Arial" w:hAnsi="Arial" w:cs="Arial"/>
        </w:rPr>
        <w:t xml:space="preserve"> </w:t>
      </w:r>
      <w:r w:rsidR="00CA58BC">
        <w:rPr>
          <w:rFonts w:ascii="Arial" w:hAnsi="Arial" w:cs="Arial"/>
        </w:rPr>
        <w:t>implementing</w:t>
      </w:r>
      <w:r w:rsidR="001F5416">
        <w:rPr>
          <w:rFonts w:ascii="Arial" w:hAnsi="Arial" w:cs="Arial"/>
        </w:rPr>
        <w:t xml:space="preserve"> this warning</w:t>
      </w:r>
      <w:r w:rsidR="00CA58BC">
        <w:rPr>
          <w:rFonts w:ascii="Arial" w:hAnsi="Arial" w:cs="Arial"/>
        </w:rPr>
        <w:t>?</w:t>
      </w:r>
    </w:p>
    <w:p w14:paraId="6B4016B0" w14:textId="6641D50C" w:rsidR="00CA58BC" w:rsidRDefault="00CA58BC" w:rsidP="00E1349A">
      <w:pPr>
        <w:pStyle w:val="BodyText"/>
        <w:numPr>
          <w:ilvl w:val="1"/>
          <w:numId w:val="18"/>
        </w:numPr>
        <w:rPr>
          <w:rFonts w:ascii="Arial" w:hAnsi="Arial" w:cs="Arial"/>
        </w:rPr>
      </w:pPr>
      <w:r>
        <w:rPr>
          <w:rFonts w:ascii="Arial" w:hAnsi="Arial" w:cs="Arial"/>
        </w:rPr>
        <w:t xml:space="preserve">Do you think AEMO should progress with the implementation of </w:t>
      </w:r>
      <w:r w:rsidR="008534B2">
        <w:rPr>
          <w:rFonts w:ascii="Arial" w:hAnsi="Arial" w:cs="Arial"/>
        </w:rPr>
        <w:t>this</w:t>
      </w:r>
      <w:r>
        <w:rPr>
          <w:rFonts w:ascii="Arial" w:hAnsi="Arial" w:cs="Arial"/>
        </w:rPr>
        <w:t xml:space="preserve"> warning validation for PAD files?</w:t>
      </w:r>
    </w:p>
    <w:p w14:paraId="4C154944" w14:textId="3F729560" w:rsidR="00465B29" w:rsidRDefault="00CA58BC" w:rsidP="000C186A">
      <w:pPr>
        <w:pStyle w:val="BodyText"/>
        <w:numPr>
          <w:ilvl w:val="1"/>
          <w:numId w:val="18"/>
        </w:numPr>
        <w:rPr>
          <w:rFonts w:ascii="Arial" w:hAnsi="Arial" w:cs="Arial"/>
        </w:rPr>
      </w:pPr>
      <w:r>
        <w:rPr>
          <w:rFonts w:ascii="Arial" w:hAnsi="Arial" w:cs="Arial"/>
        </w:rPr>
        <w:t xml:space="preserve">Do you think there is merit </w:t>
      </w:r>
      <w:r w:rsidR="00577598">
        <w:rPr>
          <w:rFonts w:ascii="Arial" w:hAnsi="Arial" w:cs="Arial"/>
        </w:rPr>
        <w:t>in</w:t>
      </w:r>
      <w:r>
        <w:rPr>
          <w:rFonts w:ascii="Arial" w:hAnsi="Arial" w:cs="Arial"/>
        </w:rPr>
        <w:t xml:space="preserve"> AEMO looking at a long-term solution of changing the STTM Rules?</w:t>
      </w:r>
      <w:r w:rsidR="00E548B1">
        <w:rPr>
          <w:rFonts w:ascii="Arial" w:hAnsi="Arial" w:cs="Arial"/>
        </w:rPr>
        <w:t xml:space="preserve"> Possible options are:</w:t>
      </w:r>
    </w:p>
    <w:p w14:paraId="5CEC8DE4" w14:textId="0E471937" w:rsidR="00CA58BC" w:rsidRDefault="00CA58BC" w:rsidP="00CA58BC">
      <w:pPr>
        <w:pStyle w:val="BodyText"/>
        <w:numPr>
          <w:ilvl w:val="2"/>
          <w:numId w:val="18"/>
        </w:numPr>
        <w:rPr>
          <w:rFonts w:ascii="Arial" w:hAnsi="Arial" w:cs="Arial"/>
        </w:rPr>
      </w:pPr>
      <w:r>
        <w:rPr>
          <w:rFonts w:ascii="Arial" w:hAnsi="Arial" w:cs="Arial"/>
        </w:rPr>
        <w:t>Allowing the Ex-Post Price to change when updated allocation data is provided to AEMO</w:t>
      </w:r>
      <w:r w:rsidR="00B64AAB">
        <w:rPr>
          <w:rFonts w:ascii="Arial" w:hAnsi="Arial" w:cs="Arial"/>
        </w:rPr>
        <w:t>.</w:t>
      </w:r>
    </w:p>
    <w:p w14:paraId="3110B959" w14:textId="3A7AA2A7" w:rsidR="00CA58BC" w:rsidRPr="00CA58BC" w:rsidRDefault="00CA58BC" w:rsidP="00CA58BC">
      <w:pPr>
        <w:pStyle w:val="BodyText"/>
        <w:numPr>
          <w:ilvl w:val="2"/>
          <w:numId w:val="18"/>
        </w:numPr>
        <w:rPr>
          <w:rFonts w:ascii="Arial" w:hAnsi="Arial" w:cs="Arial"/>
        </w:rPr>
      </w:pPr>
      <w:r>
        <w:rPr>
          <w:rFonts w:ascii="Arial" w:hAnsi="Arial" w:cs="Arial"/>
        </w:rPr>
        <w:t>Removing the Ex-Post Price altogether from the STTM Rules</w:t>
      </w:r>
      <w:r w:rsidR="00B64AAB">
        <w:rPr>
          <w:rFonts w:ascii="Arial" w:hAnsi="Arial" w:cs="Arial"/>
        </w:rPr>
        <w:t>.</w:t>
      </w:r>
      <w:bookmarkStart w:id="0" w:name="_GoBack"/>
      <w:bookmarkEnd w:id="0"/>
    </w:p>
    <w:sectPr w:rsidR="00CA58BC" w:rsidRPr="00CA58BC">
      <w:headerReference w:type="default" r:id="rId15"/>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2A1199" w14:textId="77777777" w:rsidR="00A553E8" w:rsidRDefault="00A553E8" w:rsidP="00B33E4A">
      <w:r>
        <w:separator/>
      </w:r>
    </w:p>
  </w:endnote>
  <w:endnote w:type="continuationSeparator" w:id="0">
    <w:p w14:paraId="58100960" w14:textId="77777777" w:rsidR="00A553E8" w:rsidRDefault="00A553E8" w:rsidP="00B33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5494A" w14:textId="2232873B" w:rsidR="007812EA" w:rsidRPr="00BF039D" w:rsidRDefault="00B64AAB" w:rsidP="00BF039D">
    <w:pPr>
      <w:pStyle w:val="Footer"/>
      <w:rPr>
        <w:rFonts w:ascii="Arial" w:hAnsi="Arial" w:cs="Arial"/>
        <w:color w:val="808080" w:themeColor="background1" w:themeShade="80"/>
        <w:sz w:val="15"/>
        <w:szCs w:val="15"/>
      </w:rPr>
    </w:pPr>
    <w:r>
      <w:rPr>
        <w:rFonts w:ascii="Arial" w:hAnsi="Arial" w:cs="Arial"/>
        <w:color w:val="808080" w:themeColor="background1" w:themeShade="80"/>
        <w:sz w:val="15"/>
        <w:szCs w:val="15"/>
      </w:rPr>
      <w:t>GW</w:t>
    </w:r>
    <w:r w:rsidR="007812EA" w:rsidRPr="00BF039D">
      <w:rPr>
        <w:rFonts w:ascii="Arial" w:hAnsi="Arial" w:cs="Arial"/>
        <w:color w:val="808080" w:themeColor="background1" w:themeShade="80"/>
        <w:sz w:val="15"/>
        <w:szCs w:val="15"/>
      </w:rPr>
      <w:t xml:space="preserve">CF MEETING </w:t>
    </w:r>
    <w:sdt>
      <w:sdtPr>
        <w:rPr>
          <w:rFonts w:ascii="Arial" w:hAnsi="Arial" w:cs="Arial"/>
          <w:color w:val="808080" w:themeColor="background1" w:themeShade="80"/>
          <w:sz w:val="15"/>
          <w:szCs w:val="15"/>
        </w:rPr>
        <w:alias w:val="Meeting Date"/>
        <w:tag w:val="Meeting Date"/>
        <w:id w:val="18229150"/>
        <w:dataBinding w:prefixMappings="xmlns:ns0='http://schemas.microsoft.com/office/2006/coverPageProps' " w:xpath="/ns0:CoverPageProperties[1]/ns0:PublishDate[1]" w:storeItemID="{55AF091B-3C7A-41E3-B477-F2FDAA23CFDA}"/>
        <w:date w:fullDate="2018-06-12T00:00:00Z">
          <w:dateFormat w:val="d MMMM yyyy"/>
          <w:lid w:val="en-AU"/>
          <w:storeMappedDataAs w:val="dateTime"/>
          <w:calendar w:val="gregorian"/>
        </w:date>
      </w:sdtPr>
      <w:sdtEndPr/>
      <w:sdtContent>
        <w:r w:rsidRPr="00B64AAB">
          <w:rPr>
            <w:rFonts w:ascii="Arial" w:hAnsi="Arial" w:cs="Arial"/>
            <w:color w:val="808080" w:themeColor="background1" w:themeShade="80"/>
            <w:sz w:val="15"/>
            <w:szCs w:val="15"/>
          </w:rPr>
          <w:t>12 June 2018</w:t>
        </w:r>
      </w:sdtContent>
    </w:sdt>
    <w:r w:rsidR="007812EA" w:rsidRPr="00BF039D">
      <w:rPr>
        <w:rFonts w:ascii="Arial" w:hAnsi="Arial" w:cs="Arial"/>
        <w:color w:val="808080" w:themeColor="background1" w:themeShade="80"/>
        <w:sz w:val="15"/>
        <w:szCs w:val="15"/>
      </w:rPr>
      <w:tab/>
    </w:r>
    <w:r w:rsidR="007812EA" w:rsidRPr="00BF039D">
      <w:rPr>
        <w:rFonts w:ascii="Arial" w:hAnsi="Arial" w:cs="Arial"/>
        <w:color w:val="808080" w:themeColor="background1" w:themeShade="80"/>
        <w:sz w:val="15"/>
        <w:szCs w:val="15"/>
      </w:rPr>
      <w:tab/>
    </w:r>
    <w:sdt>
      <w:sdtPr>
        <w:rPr>
          <w:rFonts w:ascii="Arial" w:hAnsi="Arial" w:cs="Arial"/>
          <w:color w:val="808080" w:themeColor="background1" w:themeShade="80"/>
          <w:sz w:val="15"/>
          <w:szCs w:val="15"/>
        </w:rPr>
        <w:id w:val="18229152"/>
        <w:docPartObj>
          <w:docPartGallery w:val="Page Numbers (Top of Page)"/>
          <w:docPartUnique/>
        </w:docPartObj>
      </w:sdtPr>
      <w:sdtEndPr/>
      <w:sdtContent>
        <w:r w:rsidR="007812EA" w:rsidRPr="00BF039D">
          <w:rPr>
            <w:rFonts w:ascii="Arial" w:hAnsi="Arial" w:cs="Arial"/>
            <w:color w:val="808080" w:themeColor="background1" w:themeShade="80"/>
            <w:sz w:val="15"/>
            <w:szCs w:val="15"/>
          </w:rPr>
          <w:t xml:space="preserve">Page </w:t>
        </w:r>
        <w:r w:rsidR="007812EA" w:rsidRPr="00BF039D">
          <w:rPr>
            <w:rFonts w:ascii="Arial" w:hAnsi="Arial" w:cs="Arial"/>
            <w:color w:val="808080" w:themeColor="background1" w:themeShade="80"/>
            <w:sz w:val="15"/>
            <w:szCs w:val="15"/>
          </w:rPr>
          <w:fldChar w:fldCharType="begin"/>
        </w:r>
        <w:r w:rsidR="007812EA" w:rsidRPr="00BF039D">
          <w:rPr>
            <w:rFonts w:ascii="Arial" w:hAnsi="Arial" w:cs="Arial"/>
            <w:color w:val="808080" w:themeColor="background1" w:themeShade="80"/>
            <w:sz w:val="15"/>
            <w:szCs w:val="15"/>
          </w:rPr>
          <w:instrText xml:space="preserve"> PAGE </w:instrText>
        </w:r>
        <w:r w:rsidR="007812EA" w:rsidRPr="00BF039D">
          <w:rPr>
            <w:rFonts w:ascii="Arial" w:hAnsi="Arial" w:cs="Arial"/>
            <w:color w:val="808080" w:themeColor="background1" w:themeShade="80"/>
            <w:sz w:val="15"/>
            <w:szCs w:val="15"/>
          </w:rPr>
          <w:fldChar w:fldCharType="separate"/>
        </w:r>
        <w:r>
          <w:rPr>
            <w:rFonts w:ascii="Arial" w:hAnsi="Arial" w:cs="Arial"/>
            <w:noProof/>
            <w:color w:val="808080" w:themeColor="background1" w:themeShade="80"/>
            <w:sz w:val="15"/>
            <w:szCs w:val="15"/>
          </w:rPr>
          <w:t>1</w:t>
        </w:r>
        <w:r w:rsidR="007812EA" w:rsidRPr="00BF039D">
          <w:rPr>
            <w:rFonts w:ascii="Arial" w:hAnsi="Arial" w:cs="Arial"/>
            <w:color w:val="808080" w:themeColor="background1" w:themeShade="80"/>
            <w:sz w:val="15"/>
            <w:szCs w:val="15"/>
          </w:rPr>
          <w:fldChar w:fldCharType="end"/>
        </w:r>
        <w:r w:rsidR="007812EA" w:rsidRPr="00BF039D">
          <w:rPr>
            <w:rFonts w:ascii="Arial" w:hAnsi="Arial" w:cs="Arial"/>
            <w:color w:val="808080" w:themeColor="background1" w:themeShade="80"/>
            <w:sz w:val="15"/>
            <w:szCs w:val="15"/>
          </w:rPr>
          <w:t xml:space="preserve"> of </w:t>
        </w:r>
        <w:r w:rsidR="007812EA" w:rsidRPr="00BF039D">
          <w:rPr>
            <w:rFonts w:ascii="Arial" w:hAnsi="Arial" w:cs="Arial"/>
            <w:color w:val="808080" w:themeColor="background1" w:themeShade="80"/>
            <w:sz w:val="15"/>
            <w:szCs w:val="15"/>
          </w:rPr>
          <w:fldChar w:fldCharType="begin"/>
        </w:r>
        <w:r w:rsidR="007812EA" w:rsidRPr="00BF039D">
          <w:rPr>
            <w:rFonts w:ascii="Arial" w:hAnsi="Arial" w:cs="Arial"/>
            <w:color w:val="808080" w:themeColor="background1" w:themeShade="80"/>
            <w:sz w:val="15"/>
            <w:szCs w:val="15"/>
          </w:rPr>
          <w:instrText xml:space="preserve"> NUMPAGES  </w:instrText>
        </w:r>
        <w:r w:rsidR="007812EA" w:rsidRPr="00BF039D">
          <w:rPr>
            <w:rFonts w:ascii="Arial" w:hAnsi="Arial" w:cs="Arial"/>
            <w:color w:val="808080" w:themeColor="background1" w:themeShade="80"/>
            <w:sz w:val="15"/>
            <w:szCs w:val="15"/>
          </w:rPr>
          <w:fldChar w:fldCharType="separate"/>
        </w:r>
        <w:r>
          <w:rPr>
            <w:rFonts w:ascii="Arial" w:hAnsi="Arial" w:cs="Arial"/>
            <w:noProof/>
            <w:color w:val="808080" w:themeColor="background1" w:themeShade="80"/>
            <w:sz w:val="15"/>
            <w:szCs w:val="15"/>
          </w:rPr>
          <w:t>1</w:t>
        </w:r>
        <w:r w:rsidR="007812EA" w:rsidRPr="00BF039D">
          <w:rPr>
            <w:rFonts w:ascii="Arial" w:hAnsi="Arial" w:cs="Arial"/>
            <w:color w:val="808080" w:themeColor="background1" w:themeShade="80"/>
            <w:sz w:val="15"/>
            <w:szCs w:val="15"/>
          </w:rPr>
          <w:fldChar w:fldCharType="end"/>
        </w:r>
      </w:sdtContent>
    </w:sdt>
  </w:p>
  <w:p w14:paraId="4C15494B" w14:textId="77777777" w:rsidR="007812EA" w:rsidRPr="00BF039D" w:rsidRDefault="007812EA" w:rsidP="00BF039D">
    <w:pPr>
      <w:pStyle w:val="Footer"/>
      <w:rPr>
        <w:rFonts w:ascii="Arial" w:hAnsi="Arial" w:cs="Arial"/>
        <w:color w:val="808080" w:themeColor="background1" w:themeShade="80"/>
        <w:sz w:val="15"/>
        <w:szCs w:val="15"/>
      </w:rPr>
    </w:pPr>
  </w:p>
  <w:p w14:paraId="4C15494C" w14:textId="77777777" w:rsidR="007812EA" w:rsidRPr="00BF039D" w:rsidRDefault="007812EA" w:rsidP="00BF039D">
    <w:pPr>
      <w:pStyle w:val="Footer"/>
      <w:rPr>
        <w:rFonts w:ascii="Arial" w:hAnsi="Arial" w:cs="Arial"/>
        <w:color w:val="808080" w:themeColor="background1" w:themeShade="80"/>
        <w:sz w:val="15"/>
        <w:szCs w:val="15"/>
      </w:rPr>
    </w:pPr>
    <w:r w:rsidRPr="00BF039D">
      <w:rPr>
        <w:rFonts w:ascii="Arial" w:hAnsi="Arial" w:cs="Arial"/>
        <w:color w:val="808080" w:themeColor="background1" w:themeShade="80"/>
        <w:sz w:val="15"/>
        <w:szCs w:val="15"/>
      </w:rPr>
      <w:t>THIS PAPER HAS BEEN PREPARED FOR CONSIDERATION OF THE CF AND THE PROPOSALS AND/OR VIEWS EXPRESSED HEREIN DO NOT NECESSARILY REFLECT THE VIEWS OF THE CF UNTIL SUCH TIME AS AND TO THE EXTENT THAT THE CF CHOOSES TO ENDORSE THE CONTENT IN WHOLE OR IN PART.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5F324" w14:textId="77777777" w:rsidR="00A553E8" w:rsidRDefault="00A553E8" w:rsidP="00B33E4A">
      <w:r>
        <w:separator/>
      </w:r>
    </w:p>
  </w:footnote>
  <w:footnote w:type="continuationSeparator" w:id="0">
    <w:p w14:paraId="5F2D19C8" w14:textId="77777777" w:rsidR="00A553E8" w:rsidRDefault="00A553E8" w:rsidP="00B33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54949" w14:textId="77777777" w:rsidR="007812EA" w:rsidRPr="0019523F" w:rsidRDefault="007812EA" w:rsidP="0019523F">
    <w:pPr>
      <w:pStyle w:val="Title"/>
      <w:ind w:left="0" w:firstLine="0"/>
      <w:rPr>
        <w:rFonts w:ascii="Arial" w:hAnsi="Arial" w:cs="Arial"/>
        <w:sz w:val="32"/>
        <w:szCs w:val="32"/>
      </w:rPr>
    </w:pPr>
    <w:r w:rsidRPr="0019523F">
      <w:rPr>
        <w:noProof/>
        <w:sz w:val="32"/>
        <w:szCs w:val="32"/>
      </w:rPr>
      <w:drawing>
        <wp:anchor distT="0" distB="0" distL="114300" distR="114300" simplePos="0" relativeHeight="251659264" behindDoc="1" locked="1" layoutInCell="1" allowOverlap="1" wp14:anchorId="4C15494D" wp14:editId="4C15494E">
          <wp:simplePos x="0" y="0"/>
          <wp:positionH relativeFrom="margin">
            <wp:align>right</wp:align>
          </wp:positionH>
          <wp:positionV relativeFrom="topMargin">
            <wp:align>bottom</wp:align>
          </wp:positionV>
          <wp:extent cx="1990725" cy="657225"/>
          <wp:effectExtent l="0" t="0" r="9525" b="9525"/>
          <wp:wrapNone/>
          <wp:docPr id="2" name="Picture 142" descr="Heade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2" descr="Header"/>
                  <pic:cNvPicPr>
                    <a:picLocks noChangeArrowheads="1"/>
                  </pic:cNvPicPr>
                </pic:nvPicPr>
                <pic:blipFill>
                  <a:blip r:embed="rId1"/>
                  <a:srcRect/>
                  <a:stretch>
                    <a:fillRect/>
                  </a:stretch>
                </pic:blipFill>
                <pic:spPr bwMode="auto">
                  <a:xfrm>
                    <a:off x="0" y="0"/>
                    <a:ext cx="1990725" cy="657225"/>
                  </a:xfrm>
                  <a:prstGeom prst="rect">
                    <a:avLst/>
                  </a:prstGeom>
                  <a:solidFill>
                    <a:srgbClr val="FFFFFF"/>
                  </a:solid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9E8CA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CF2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A289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EBC93B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ACA77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068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50B98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A855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A068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724546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E6419F"/>
    <w:multiLevelType w:val="hybridMultilevel"/>
    <w:tmpl w:val="94C0F2F0"/>
    <w:lvl w:ilvl="0" w:tplc="A198C498">
      <w:start w:val="1"/>
      <w:numFmt w:val="decimal"/>
      <w:pStyle w:val="Heading1"/>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1" w15:restartNumberingAfterBreak="0">
    <w:nsid w:val="2BC26238"/>
    <w:multiLevelType w:val="hybridMultilevel"/>
    <w:tmpl w:val="151C395E"/>
    <w:lvl w:ilvl="0" w:tplc="2AFEAAA2">
      <w:start w:val="1"/>
      <w:numFmt w:val="lowerLetter"/>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9C1695C"/>
    <w:multiLevelType w:val="hybridMultilevel"/>
    <w:tmpl w:val="908256F6"/>
    <w:lvl w:ilvl="0" w:tplc="7E284544">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3" w15:restartNumberingAfterBreak="0">
    <w:nsid w:val="43D455B8"/>
    <w:multiLevelType w:val="hybridMultilevel"/>
    <w:tmpl w:val="512ED06C"/>
    <w:lvl w:ilvl="0" w:tplc="0C090001">
      <w:start w:val="1"/>
      <w:numFmt w:val="bullet"/>
      <w:lvlText w:val=""/>
      <w:lvlJc w:val="left"/>
      <w:pPr>
        <w:ind w:left="644" w:hanging="360"/>
      </w:pPr>
      <w:rPr>
        <w:rFonts w:ascii="Symbol" w:hAnsi="Symbol"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14" w15:restartNumberingAfterBreak="0">
    <w:nsid w:val="449140EB"/>
    <w:multiLevelType w:val="hybridMultilevel"/>
    <w:tmpl w:val="95DE03E4"/>
    <w:lvl w:ilvl="0" w:tplc="0C090003">
      <w:start w:val="1"/>
      <w:numFmt w:val="bullet"/>
      <w:lvlText w:val="o"/>
      <w:lvlJc w:val="left"/>
      <w:pPr>
        <w:ind w:left="1004" w:hanging="360"/>
      </w:pPr>
      <w:rPr>
        <w:rFonts w:ascii="Courier New" w:hAnsi="Courier New" w:cs="Courier New"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5" w15:restartNumberingAfterBreak="0">
    <w:nsid w:val="465C7A5F"/>
    <w:multiLevelType w:val="hybridMultilevel"/>
    <w:tmpl w:val="E06E7B0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FBC2F45"/>
    <w:multiLevelType w:val="hybridMultilevel"/>
    <w:tmpl w:val="3200BAE8"/>
    <w:lvl w:ilvl="0" w:tplc="0C09000B">
      <w:start w:val="1"/>
      <w:numFmt w:val="bullet"/>
      <w:lvlText w:val=""/>
      <w:lvlJc w:val="left"/>
      <w:pPr>
        <w:tabs>
          <w:tab w:val="num" w:pos="1358"/>
        </w:tabs>
        <w:ind w:left="1358" w:hanging="354"/>
      </w:pPr>
      <w:rPr>
        <w:rFonts w:ascii="Wingdings" w:hAnsi="Wingdings" w:hint="default"/>
      </w:rPr>
    </w:lvl>
    <w:lvl w:ilvl="1" w:tplc="0C090003" w:tentative="1">
      <w:start w:val="1"/>
      <w:numFmt w:val="bullet"/>
      <w:lvlText w:val="o"/>
      <w:lvlJc w:val="left"/>
      <w:pPr>
        <w:ind w:left="2084" w:hanging="360"/>
      </w:pPr>
      <w:rPr>
        <w:rFonts w:ascii="Courier New" w:hAnsi="Courier New" w:cs="Courier New" w:hint="default"/>
      </w:rPr>
    </w:lvl>
    <w:lvl w:ilvl="2" w:tplc="0C090005" w:tentative="1">
      <w:start w:val="1"/>
      <w:numFmt w:val="bullet"/>
      <w:lvlText w:val=""/>
      <w:lvlJc w:val="left"/>
      <w:pPr>
        <w:ind w:left="2804" w:hanging="360"/>
      </w:pPr>
      <w:rPr>
        <w:rFonts w:ascii="Wingdings" w:hAnsi="Wingdings" w:hint="default"/>
      </w:rPr>
    </w:lvl>
    <w:lvl w:ilvl="3" w:tplc="0C090001" w:tentative="1">
      <w:start w:val="1"/>
      <w:numFmt w:val="bullet"/>
      <w:lvlText w:val=""/>
      <w:lvlJc w:val="left"/>
      <w:pPr>
        <w:ind w:left="3524" w:hanging="360"/>
      </w:pPr>
      <w:rPr>
        <w:rFonts w:ascii="Symbol" w:hAnsi="Symbol" w:hint="default"/>
      </w:rPr>
    </w:lvl>
    <w:lvl w:ilvl="4" w:tplc="0C090003" w:tentative="1">
      <w:start w:val="1"/>
      <w:numFmt w:val="bullet"/>
      <w:lvlText w:val="o"/>
      <w:lvlJc w:val="left"/>
      <w:pPr>
        <w:ind w:left="4244" w:hanging="360"/>
      </w:pPr>
      <w:rPr>
        <w:rFonts w:ascii="Courier New" w:hAnsi="Courier New" w:cs="Courier New" w:hint="default"/>
      </w:rPr>
    </w:lvl>
    <w:lvl w:ilvl="5" w:tplc="0C090005" w:tentative="1">
      <w:start w:val="1"/>
      <w:numFmt w:val="bullet"/>
      <w:lvlText w:val=""/>
      <w:lvlJc w:val="left"/>
      <w:pPr>
        <w:ind w:left="4964" w:hanging="360"/>
      </w:pPr>
      <w:rPr>
        <w:rFonts w:ascii="Wingdings" w:hAnsi="Wingdings" w:hint="default"/>
      </w:rPr>
    </w:lvl>
    <w:lvl w:ilvl="6" w:tplc="0C090001" w:tentative="1">
      <w:start w:val="1"/>
      <w:numFmt w:val="bullet"/>
      <w:lvlText w:val=""/>
      <w:lvlJc w:val="left"/>
      <w:pPr>
        <w:ind w:left="5684" w:hanging="360"/>
      </w:pPr>
      <w:rPr>
        <w:rFonts w:ascii="Symbol" w:hAnsi="Symbol" w:hint="default"/>
      </w:rPr>
    </w:lvl>
    <w:lvl w:ilvl="7" w:tplc="0C090003" w:tentative="1">
      <w:start w:val="1"/>
      <w:numFmt w:val="bullet"/>
      <w:lvlText w:val="o"/>
      <w:lvlJc w:val="left"/>
      <w:pPr>
        <w:ind w:left="6404" w:hanging="360"/>
      </w:pPr>
      <w:rPr>
        <w:rFonts w:ascii="Courier New" w:hAnsi="Courier New" w:cs="Courier New" w:hint="default"/>
      </w:rPr>
    </w:lvl>
    <w:lvl w:ilvl="8" w:tplc="0C090005" w:tentative="1">
      <w:start w:val="1"/>
      <w:numFmt w:val="bullet"/>
      <w:lvlText w:val=""/>
      <w:lvlJc w:val="left"/>
      <w:pPr>
        <w:ind w:left="7124" w:hanging="360"/>
      </w:pPr>
      <w:rPr>
        <w:rFonts w:ascii="Wingdings" w:hAnsi="Wingdings" w:hint="default"/>
      </w:rPr>
    </w:lvl>
  </w:abstractNum>
  <w:abstractNum w:abstractNumId="17" w15:restartNumberingAfterBreak="0">
    <w:nsid w:val="517E1786"/>
    <w:multiLevelType w:val="hybridMultilevel"/>
    <w:tmpl w:val="D3723CD2"/>
    <w:lvl w:ilvl="0" w:tplc="B46E587A">
      <w:start w:val="1"/>
      <w:numFmt w:val="decimal"/>
      <w:pStyle w:val="AttachmentListNumber"/>
      <w:lvlText w:val="%1."/>
      <w:lvlJc w:val="left"/>
      <w:pPr>
        <w:ind w:left="720" w:hanging="360"/>
      </w:pPr>
    </w:lvl>
    <w:lvl w:ilvl="1" w:tplc="9E00D0C8" w:tentative="1">
      <w:start w:val="1"/>
      <w:numFmt w:val="lowerLetter"/>
      <w:lvlText w:val="%2."/>
      <w:lvlJc w:val="left"/>
      <w:pPr>
        <w:ind w:left="1440" w:hanging="360"/>
      </w:pPr>
    </w:lvl>
    <w:lvl w:ilvl="2" w:tplc="1D7CA82E" w:tentative="1">
      <w:start w:val="1"/>
      <w:numFmt w:val="lowerRoman"/>
      <w:lvlText w:val="%3."/>
      <w:lvlJc w:val="right"/>
      <w:pPr>
        <w:ind w:left="2160" w:hanging="180"/>
      </w:pPr>
    </w:lvl>
    <w:lvl w:ilvl="3" w:tplc="A1B87BD4" w:tentative="1">
      <w:start w:val="1"/>
      <w:numFmt w:val="decimal"/>
      <w:lvlText w:val="%4."/>
      <w:lvlJc w:val="left"/>
      <w:pPr>
        <w:ind w:left="2880" w:hanging="360"/>
      </w:pPr>
    </w:lvl>
    <w:lvl w:ilvl="4" w:tplc="E068AE70" w:tentative="1">
      <w:start w:val="1"/>
      <w:numFmt w:val="lowerLetter"/>
      <w:lvlText w:val="%5."/>
      <w:lvlJc w:val="left"/>
      <w:pPr>
        <w:ind w:left="3600" w:hanging="360"/>
      </w:pPr>
    </w:lvl>
    <w:lvl w:ilvl="5" w:tplc="76B8088C" w:tentative="1">
      <w:start w:val="1"/>
      <w:numFmt w:val="lowerRoman"/>
      <w:lvlText w:val="%6."/>
      <w:lvlJc w:val="right"/>
      <w:pPr>
        <w:ind w:left="4320" w:hanging="180"/>
      </w:pPr>
    </w:lvl>
    <w:lvl w:ilvl="6" w:tplc="3EC430A0" w:tentative="1">
      <w:start w:val="1"/>
      <w:numFmt w:val="decimal"/>
      <w:lvlText w:val="%7."/>
      <w:lvlJc w:val="left"/>
      <w:pPr>
        <w:ind w:left="5040" w:hanging="360"/>
      </w:pPr>
    </w:lvl>
    <w:lvl w:ilvl="7" w:tplc="C9CAF846" w:tentative="1">
      <w:start w:val="1"/>
      <w:numFmt w:val="lowerLetter"/>
      <w:lvlText w:val="%8."/>
      <w:lvlJc w:val="left"/>
      <w:pPr>
        <w:ind w:left="5760" w:hanging="360"/>
      </w:pPr>
    </w:lvl>
    <w:lvl w:ilvl="8" w:tplc="5B38D51E" w:tentative="1">
      <w:start w:val="1"/>
      <w:numFmt w:val="lowerRoman"/>
      <w:lvlText w:val="%9."/>
      <w:lvlJc w:val="right"/>
      <w:pPr>
        <w:ind w:left="6480" w:hanging="180"/>
      </w:pPr>
    </w:lvl>
  </w:abstractNum>
  <w:num w:numId="1">
    <w:abstractNumId w:val="12"/>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1"/>
  </w:num>
  <w:num w:numId="14">
    <w:abstractNumId w:val="17"/>
    <w:lvlOverride w:ilvl="0">
      <w:startOverride w:val="1"/>
    </w:lvlOverride>
  </w:num>
  <w:num w:numId="15">
    <w:abstractNumId w:val="13"/>
  </w:num>
  <w:num w:numId="16">
    <w:abstractNumId w:val="14"/>
  </w:num>
  <w:num w:numId="17">
    <w:abstractNumId w:val="16"/>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E4A"/>
    <w:rsid w:val="00027ABF"/>
    <w:rsid w:val="000B1E18"/>
    <w:rsid w:val="000C186A"/>
    <w:rsid w:val="00107A1D"/>
    <w:rsid w:val="00145D39"/>
    <w:rsid w:val="00190D7B"/>
    <w:rsid w:val="0019523F"/>
    <w:rsid w:val="001D6394"/>
    <w:rsid w:val="001F3CBF"/>
    <w:rsid w:val="001F5416"/>
    <w:rsid w:val="00211F75"/>
    <w:rsid w:val="00243AEF"/>
    <w:rsid w:val="00277AFA"/>
    <w:rsid w:val="002F281D"/>
    <w:rsid w:val="0041536A"/>
    <w:rsid w:val="00435E02"/>
    <w:rsid w:val="00445E85"/>
    <w:rsid w:val="00465B29"/>
    <w:rsid w:val="00495DBB"/>
    <w:rsid w:val="004D48B4"/>
    <w:rsid w:val="0057724D"/>
    <w:rsid w:val="00577598"/>
    <w:rsid w:val="005D7714"/>
    <w:rsid w:val="005F7BD8"/>
    <w:rsid w:val="0063483D"/>
    <w:rsid w:val="006368AF"/>
    <w:rsid w:val="00673F00"/>
    <w:rsid w:val="00680864"/>
    <w:rsid w:val="006C0A6C"/>
    <w:rsid w:val="00701C1F"/>
    <w:rsid w:val="00707705"/>
    <w:rsid w:val="007812EA"/>
    <w:rsid w:val="007A3FE7"/>
    <w:rsid w:val="007D74E8"/>
    <w:rsid w:val="007F3252"/>
    <w:rsid w:val="00832167"/>
    <w:rsid w:val="008534B2"/>
    <w:rsid w:val="009B3B90"/>
    <w:rsid w:val="00A10DB3"/>
    <w:rsid w:val="00A279B7"/>
    <w:rsid w:val="00A553E8"/>
    <w:rsid w:val="00AA4CC6"/>
    <w:rsid w:val="00AD495E"/>
    <w:rsid w:val="00B33E4A"/>
    <w:rsid w:val="00B64AAB"/>
    <w:rsid w:val="00BF039D"/>
    <w:rsid w:val="00C026AF"/>
    <w:rsid w:val="00C74685"/>
    <w:rsid w:val="00CA58BC"/>
    <w:rsid w:val="00CB6F2A"/>
    <w:rsid w:val="00CD0106"/>
    <w:rsid w:val="00D82100"/>
    <w:rsid w:val="00D97538"/>
    <w:rsid w:val="00DF1EDE"/>
    <w:rsid w:val="00E1349A"/>
    <w:rsid w:val="00E548B1"/>
    <w:rsid w:val="00E642A6"/>
    <w:rsid w:val="00F57B43"/>
    <w:rsid w:val="00FD4704"/>
    <w:rsid w:val="00FF6FB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15492B"/>
  <w15:chartTrackingRefBased/>
  <w15:docId w15:val="{64A96FF4-79F1-45EA-826D-2BC33F33F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186A"/>
    <w:pPr>
      <w:spacing w:after="0" w:line="240" w:lineRule="auto"/>
    </w:pPr>
    <w:rPr>
      <w:rFonts w:eastAsia="Times New Roman" w:cs="Times New Roman"/>
      <w:sz w:val="20"/>
      <w:szCs w:val="20"/>
      <w:lang w:eastAsia="en-AU"/>
    </w:rPr>
  </w:style>
  <w:style w:type="paragraph" w:styleId="Heading1">
    <w:name w:val="heading 1"/>
    <w:basedOn w:val="BodyText"/>
    <w:next w:val="BodyText"/>
    <w:link w:val="Heading1Char"/>
    <w:autoRedefine/>
    <w:qFormat/>
    <w:rsid w:val="000C186A"/>
    <w:pPr>
      <w:numPr>
        <w:numId w:val="2"/>
      </w:numPr>
      <w:spacing w:before="240"/>
      <w:contextualSpacing/>
      <w:outlineLvl w:val="0"/>
    </w:pPr>
    <w:rPr>
      <w:rFonts w:ascii="Arial" w:hAnsi="Arial" w:cs="Arial"/>
      <w:caps/>
      <w:color w:val="0020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186A"/>
    <w:rPr>
      <w:rFonts w:ascii="Arial" w:eastAsia="Times New Roman" w:hAnsi="Arial" w:cs="Arial"/>
      <w:caps/>
      <w:color w:val="002060"/>
      <w:szCs w:val="20"/>
      <w:lang w:eastAsia="en-AU"/>
    </w:rPr>
  </w:style>
  <w:style w:type="table" w:styleId="TableGrid">
    <w:name w:val="Table Grid"/>
    <w:basedOn w:val="TableNormal"/>
    <w:uiPriority w:val="59"/>
    <w:rsid w:val="00B33E4A"/>
    <w:pPr>
      <w:spacing w:after="0" w:line="240" w:lineRule="auto"/>
    </w:pPr>
    <w:rPr>
      <w:rFonts w:ascii="Times New Roman" w:eastAsia="Times New Roman" w:hAnsi="Times New Roman" w:cs="Times New Roman"/>
      <w:sz w:val="20"/>
      <w:szCs w:val="20"/>
      <w:lang w:eastAsia="en-A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rsid w:val="00B33E4A"/>
    <w:pPr>
      <w:spacing w:before="120" w:after="120"/>
    </w:pPr>
    <w:rPr>
      <w:sz w:val="22"/>
    </w:rPr>
  </w:style>
  <w:style w:type="character" w:customStyle="1" w:styleId="BodyTextChar">
    <w:name w:val="Body Text Char"/>
    <w:basedOn w:val="DefaultParagraphFont"/>
    <w:link w:val="BodyText"/>
    <w:rsid w:val="00B33E4A"/>
    <w:rPr>
      <w:rFonts w:eastAsia="Times New Roman" w:cs="Times New Roman"/>
      <w:szCs w:val="20"/>
      <w:lang w:eastAsia="en-AU"/>
    </w:rPr>
  </w:style>
  <w:style w:type="paragraph" w:customStyle="1" w:styleId="DataStyle">
    <w:name w:val="Data Style"/>
    <w:basedOn w:val="BodyText"/>
    <w:next w:val="BodyText"/>
    <w:qFormat/>
    <w:rsid w:val="00B33E4A"/>
    <w:rPr>
      <w:caps/>
      <w:color w:val="5B9BD5" w:themeColor="accent1"/>
      <w:sz w:val="24"/>
      <w:szCs w:val="22"/>
    </w:rPr>
  </w:style>
  <w:style w:type="paragraph" w:styleId="Header">
    <w:name w:val="header"/>
    <w:basedOn w:val="Normal"/>
    <w:link w:val="HeaderChar"/>
    <w:uiPriority w:val="99"/>
    <w:unhideWhenUsed/>
    <w:rsid w:val="00B33E4A"/>
    <w:pPr>
      <w:tabs>
        <w:tab w:val="center" w:pos="4513"/>
        <w:tab w:val="right" w:pos="9026"/>
      </w:tabs>
    </w:pPr>
  </w:style>
  <w:style w:type="character" w:customStyle="1" w:styleId="HeaderChar">
    <w:name w:val="Header Char"/>
    <w:basedOn w:val="DefaultParagraphFont"/>
    <w:link w:val="Header"/>
    <w:uiPriority w:val="99"/>
    <w:rsid w:val="00B33E4A"/>
    <w:rPr>
      <w:rFonts w:eastAsia="Times New Roman" w:cs="Times New Roman"/>
      <w:sz w:val="20"/>
      <w:szCs w:val="20"/>
      <w:lang w:eastAsia="en-AU"/>
    </w:rPr>
  </w:style>
  <w:style w:type="paragraph" w:styleId="Footer">
    <w:name w:val="footer"/>
    <w:basedOn w:val="Normal"/>
    <w:link w:val="FooterChar"/>
    <w:uiPriority w:val="99"/>
    <w:unhideWhenUsed/>
    <w:rsid w:val="00B33E4A"/>
    <w:pPr>
      <w:tabs>
        <w:tab w:val="center" w:pos="4513"/>
        <w:tab w:val="right" w:pos="9026"/>
      </w:tabs>
    </w:pPr>
  </w:style>
  <w:style w:type="character" w:customStyle="1" w:styleId="FooterChar">
    <w:name w:val="Footer Char"/>
    <w:basedOn w:val="DefaultParagraphFont"/>
    <w:link w:val="Footer"/>
    <w:uiPriority w:val="99"/>
    <w:rsid w:val="00B33E4A"/>
    <w:rPr>
      <w:rFonts w:eastAsia="Times New Roman" w:cs="Times New Roman"/>
      <w:sz w:val="20"/>
      <w:szCs w:val="20"/>
      <w:lang w:eastAsia="en-AU"/>
    </w:rPr>
  </w:style>
  <w:style w:type="paragraph" w:styleId="Title">
    <w:name w:val="Title"/>
    <w:basedOn w:val="BodyText"/>
    <w:next w:val="BodyText"/>
    <w:link w:val="TitleChar"/>
    <w:qFormat/>
    <w:rsid w:val="00B33E4A"/>
    <w:pPr>
      <w:ind w:left="851" w:hanging="851"/>
    </w:pPr>
    <w:rPr>
      <w:color w:val="5B9BD5" w:themeColor="accent1"/>
      <w:sz w:val="36"/>
      <w:szCs w:val="36"/>
    </w:rPr>
  </w:style>
  <w:style w:type="character" w:customStyle="1" w:styleId="TitleChar">
    <w:name w:val="Title Char"/>
    <w:basedOn w:val="DefaultParagraphFont"/>
    <w:link w:val="Title"/>
    <w:rsid w:val="00B33E4A"/>
    <w:rPr>
      <w:rFonts w:eastAsia="Times New Roman" w:cs="Times New Roman"/>
      <w:color w:val="5B9BD5" w:themeColor="accent1"/>
      <w:sz w:val="36"/>
      <w:szCs w:val="36"/>
      <w:lang w:eastAsia="en-AU"/>
    </w:rPr>
  </w:style>
  <w:style w:type="paragraph" w:styleId="ListBullet">
    <w:name w:val="List Bullet"/>
    <w:basedOn w:val="BodyText"/>
    <w:rsid w:val="000C186A"/>
  </w:style>
  <w:style w:type="table" w:customStyle="1" w:styleId="AEMO09Tablestyle">
    <w:name w:val="AEMO09 Table style"/>
    <w:basedOn w:val="TableNormal"/>
    <w:uiPriority w:val="99"/>
    <w:qFormat/>
    <w:rsid w:val="000C186A"/>
    <w:pPr>
      <w:spacing w:after="0" w:line="240" w:lineRule="auto"/>
    </w:pPr>
    <w:rPr>
      <w:rFonts w:ascii="Arial" w:eastAsia="Times New Roman" w:hAnsi="Arial" w:cs="Times New Roman"/>
      <w:sz w:val="21"/>
      <w:szCs w:val="20"/>
      <w:lang w:eastAsia="en-AU"/>
    </w:rPr>
    <w:tblPr>
      <w:tblBorders>
        <w:top w:val="single" w:sz="4" w:space="0" w:color="948671"/>
        <w:left w:val="single" w:sz="4" w:space="0" w:color="948671"/>
        <w:bottom w:val="single" w:sz="4" w:space="0" w:color="948671"/>
        <w:right w:val="single" w:sz="4" w:space="0" w:color="948671"/>
        <w:insideH w:val="single" w:sz="4" w:space="0" w:color="948671"/>
        <w:insideV w:val="single" w:sz="4" w:space="0" w:color="948671"/>
      </w:tblBorders>
    </w:tblPr>
    <w:tcPr>
      <w:vAlign w:val="center"/>
    </w:tcPr>
  </w:style>
  <w:style w:type="table" w:customStyle="1" w:styleId="BasicAEMOTable">
    <w:name w:val="Basic AEMO Table"/>
    <w:basedOn w:val="TableNormal"/>
    <w:uiPriority w:val="99"/>
    <w:qFormat/>
    <w:rsid w:val="000C186A"/>
    <w:pPr>
      <w:spacing w:before="60" w:after="60" w:line="240" w:lineRule="auto"/>
    </w:pPr>
    <w:rPr>
      <w:rFonts w:ascii="Arial" w:eastAsia="Times New Roman" w:hAnsi="Arial"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i w:val="0"/>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tcPr>
    </w:tblStylePr>
  </w:style>
  <w:style w:type="paragraph" w:customStyle="1" w:styleId="DataStyle2">
    <w:name w:val="Data Style 2"/>
    <w:basedOn w:val="DataStyle"/>
    <w:qFormat/>
    <w:rsid w:val="000C186A"/>
    <w:rPr>
      <w:sz w:val="19"/>
    </w:rPr>
  </w:style>
  <w:style w:type="paragraph" w:customStyle="1" w:styleId="AttachmentListNumber">
    <w:name w:val="Attachment List Number"/>
    <w:basedOn w:val="ListNumber"/>
    <w:next w:val="BodyText"/>
    <w:qFormat/>
    <w:rsid w:val="000C186A"/>
    <w:pPr>
      <w:numPr>
        <w:numId w:val="14"/>
      </w:numPr>
      <w:tabs>
        <w:tab w:val="num" w:pos="360"/>
      </w:tabs>
      <w:spacing w:before="120" w:after="120"/>
      <w:ind w:left="360"/>
      <w:contextualSpacing w:val="0"/>
    </w:pPr>
    <w:rPr>
      <w:caps/>
      <w:color w:val="5B9BD5" w:themeColor="accent1"/>
      <w:sz w:val="19"/>
      <w:szCs w:val="19"/>
    </w:rPr>
  </w:style>
  <w:style w:type="paragraph" w:customStyle="1" w:styleId="GoldLine">
    <w:name w:val="Gold Line"/>
    <w:basedOn w:val="BodyText"/>
    <w:qFormat/>
    <w:rsid w:val="000C186A"/>
    <w:pPr>
      <w:spacing w:after="240"/>
    </w:pPr>
  </w:style>
  <w:style w:type="paragraph" w:styleId="ListParagraph">
    <w:name w:val="List Paragraph"/>
    <w:basedOn w:val="Normal"/>
    <w:uiPriority w:val="34"/>
    <w:qFormat/>
    <w:rsid w:val="000C186A"/>
    <w:pPr>
      <w:ind w:left="720"/>
      <w:contextualSpacing/>
    </w:pPr>
    <w:rPr>
      <w:rFonts w:ascii="Arial" w:hAnsi="Arial"/>
      <w:sz w:val="22"/>
      <w:szCs w:val="24"/>
    </w:rPr>
  </w:style>
  <w:style w:type="paragraph" w:styleId="ListNumber">
    <w:name w:val="List Number"/>
    <w:basedOn w:val="Normal"/>
    <w:uiPriority w:val="99"/>
    <w:semiHidden/>
    <w:unhideWhenUsed/>
    <w:rsid w:val="000C186A"/>
    <w:pPr>
      <w:numPr>
        <w:numId w:val="8"/>
      </w:numPr>
      <w:contextualSpacing/>
    </w:pPr>
  </w:style>
  <w:style w:type="character" w:styleId="Hyperlink">
    <w:name w:val="Hyperlink"/>
    <w:basedOn w:val="DefaultParagraphFont"/>
    <w:uiPriority w:val="99"/>
    <w:unhideWhenUsed/>
    <w:rsid w:val="00F57B43"/>
    <w:rPr>
      <w:color w:val="0563C1" w:themeColor="hyperlink"/>
      <w:u w:val="single"/>
    </w:rPr>
  </w:style>
  <w:style w:type="character" w:styleId="UnresolvedMention">
    <w:name w:val="Unresolved Mention"/>
    <w:basedOn w:val="DefaultParagraphFont"/>
    <w:uiPriority w:val="99"/>
    <w:semiHidden/>
    <w:unhideWhenUsed/>
    <w:rsid w:val="007812E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saul.milner@aemo.com.a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2018-06-12T00:00:00</PublishDate>
  <Abstract/>
  <CompanyAddress/>
  <CompanyPhone/>
  <CompanyFax/>
  <CompanyEmail/>
</CoverPageProperties>
</file>

<file path=customXml/item2.xml><?xml version="1.0" encoding="utf-8"?>
<?mso-contentType ?>
<SharedContentType xmlns="Microsoft.SharePoint.Taxonomy.ContentTypeSync" SourceId="409ac0fb-07cb-4169-8a26-def2760b5502" ContentTypeId="0x0101009BE89D58CAF0934CA32A20BCFFD353DC" PreviousValue="false"/>
</file>

<file path=customXml/item3.xml><?xml version="1.0" encoding="utf-8"?>
<ct:contentTypeSchema xmlns:ct="http://schemas.microsoft.com/office/2006/metadata/contentType" xmlns:ma="http://schemas.microsoft.com/office/2006/metadata/properties/metaAttributes" ct:_="" ma:_="" ma:contentTypeName="AEMODocument" ma:contentTypeID="0x0101009BE89D58CAF0934CA32A20BCFFD353DC006A892F1EADA45243BE081B459C8E0D98" ma:contentTypeVersion="9" ma:contentTypeDescription="" ma:contentTypeScope="" ma:versionID="fcffa363c29ecfc5b61f7a4732ed8e31">
  <xsd:schema xmlns:xsd="http://www.w3.org/2001/XMLSchema" xmlns:xs="http://www.w3.org/2001/XMLSchema" xmlns:p="http://schemas.microsoft.com/office/2006/metadata/properties" xmlns:ns2="a14523ce-dede-483e-883a-2d83261080bd" targetNamespace="http://schemas.microsoft.com/office/2006/metadata/properties" ma:root="true" ma:fieldsID="5b14b08eadba20b194e44806c70cf5d1" ns2:_="">
    <xsd:import namespace="a14523ce-dede-483e-883a-2d83261080bd"/>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AEMOCustodian" minOccurs="0"/>
                <xsd:element ref="ns2:AEMODescription" minOccurs="0"/>
                <xsd:element ref="ns2:AEMODocumentTypeTaxHTField0" minOccurs="0"/>
                <xsd:element ref="ns2:AEMOKeywordsTaxHTField0" minOccurs="0"/>
                <xsd:element ref="ns2:Archive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4523ce-dede-483e-883a-2d83261080b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description="" ma:hidden="true" ma:list="{06b1b9cb-2d7e-449d-975f-61ff2967b4d7}" ma:internalName="TaxCatchAll" ma:showField="CatchAllData" ma:web="02ca1290-7040-4608-b4cb-d584c4cb7cd9">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description="" ma:hidden="true" ma:list="{06b1b9cb-2d7e-449d-975f-61ff2967b4d7}" ma:internalName="TaxCatchAllLabel" ma:readOnly="true" ma:showField="CatchAllDataLabel" ma:web="02ca1290-7040-4608-b4cb-d584c4cb7cd9">
      <xsd:complexType>
        <xsd:complexContent>
          <xsd:extension base="dms:MultiChoiceLookup">
            <xsd:sequence>
              <xsd:element name="Value" type="dms:Lookup" maxOccurs="unbounded" minOccurs="0" nillable="true"/>
            </xsd:sequence>
          </xsd:extension>
        </xsd:complexContent>
      </xsd:complexType>
    </xsd:element>
    <xsd:element name="AEMOCustodian" ma:index="13" nillable="true" ma:displayName="AEMOCustodian" ma:list="UserInfo" ma:SharePointGroup="0" ma:internalName="AEMOCustodian"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EMODescription" ma:index="14" nillable="true" ma:displayName="AEMODescription" ma:internalName="AEMODescription" ma:readOnly="false">
      <xsd:simpleType>
        <xsd:restriction base="dms:Note"/>
      </xsd:simpleType>
    </xsd:element>
    <xsd:element name="AEMODocumentTypeTaxHTField0" ma:index="15" nillable="true" ma:taxonomy="true" ma:internalName="AEMODocumentTypeTaxHTField0" ma:taxonomyFieldName="AEMODocumentType" ma:displayName="AEMODocumentType" ma:readOnly="false" ma:default="1;#Operational Record|859762f2-4462-42eb-9744-c955c7e2c540" ma:fieldId="{da861434-c661-4929-8c0f-a462c80621ee}" ma:sspId="409ac0fb-07cb-4169-8a26-def2760b5502" ma:termSetId="7d85e329-3a18-4351-8865-4c9585fd1cc0" ma:anchorId="00000000-0000-0000-0000-000000000000" ma:open="false" ma:isKeyword="false">
      <xsd:complexType>
        <xsd:sequence>
          <xsd:element ref="pc:Terms" minOccurs="0" maxOccurs="1"/>
        </xsd:sequence>
      </xsd:complexType>
    </xsd:element>
    <xsd:element name="AEMOKeywordsTaxHTField0" ma:index="17" nillable="true" ma:taxonomy="true" ma:internalName="AEMOKeywordsTaxHTField0" ma:taxonomyFieldName="AEMOKeywords" ma:displayName="AEMOKeywords" ma:readOnly="false" ma:default="" ma:fieldId="{443585ba-fce9-427e-bd78-308c17c973aa}" ma:taxonomyMulti="true" ma:sspId="409ac0fb-07cb-4169-8a26-def2760b5502" ma:termSetId="70885f33-8be5-4917-bc67-8833a068ef45" ma:anchorId="00000000-0000-0000-0000-000000000000" ma:open="true" ma:isKeyword="false">
      <xsd:complexType>
        <xsd:sequence>
          <xsd:element ref="pc:Terms" minOccurs="0" maxOccurs="1"/>
        </xsd:sequence>
      </xsd:complexType>
    </xsd:element>
    <xsd:element name="ArchiveDocument" ma:index="19" nillable="true" ma:displayName="ArchiveDocument" ma:default="0" ma:description="Checking this box will send the document to the AEMO Archive and leave a link in its place." ma:internalName="ArchiveDocu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AEMOCustodian xmlns="a14523ce-dede-483e-883a-2d83261080bd">
      <UserInfo>
        <DisplayName>Hayley George</DisplayName>
        <AccountId>2</AccountId>
        <AccountType/>
      </UserInfo>
    </AEMOCustodian>
    <ArchiveDocument xmlns="a14523ce-dede-483e-883a-2d83261080bd">false</ArchiveDocument>
    <AEMODocumentTypeTaxHTField0 xmlns="a14523ce-dede-483e-883a-2d83261080bd">
      <Terms xmlns="http://schemas.microsoft.com/office/infopath/2007/PartnerControls">
        <TermInfo xmlns="http://schemas.microsoft.com/office/infopath/2007/PartnerControls">
          <TermName xmlns="http://schemas.microsoft.com/office/infopath/2007/PartnerControls">Operational Record</TermName>
          <TermId xmlns="http://schemas.microsoft.com/office/infopath/2007/PartnerControls">859762f2-4462-42eb-9744-c955c7e2c540</TermId>
        </TermInfo>
      </Terms>
    </AEMODocumentTypeTaxHTField0>
    <AEMOKeywordsTaxHTField0 xmlns="a14523ce-dede-483e-883a-2d83261080bd">
      <Terms xmlns="http://schemas.microsoft.com/office/infopath/2007/PartnerControls"/>
    </AEMOKeywordsTaxHTField0>
    <TaxCatchAll xmlns="a14523ce-dede-483e-883a-2d83261080bd">
      <Value>1</Value>
    </TaxCatchAll>
    <AEMODescription xmlns="a14523ce-dede-483e-883a-2d83261080bd" xsi:nil="true"/>
    <_dlc_DocId xmlns="a14523ce-dede-483e-883a-2d83261080bd">STAKEHOLD-10-808</_dlc_DocId>
    <_dlc_DocIdUrl xmlns="a14523ce-dede-483e-883a-2d83261080bd">
      <Url>http://sharedocs/sites/sr/_layouts/15/DocIdRedir.aspx?ID=STAKEHOLD-10-808</Url>
      <Description>STAKEHOLD-10-808</Description>
    </_dlc_DocIdUrl>
  </documentManagement>
</p:properties>
</file>

<file path=customXml/item6.xml><?xml version="1.0" encoding="utf-8"?>
<?mso-contentType ?>
<customXsn xmlns="http://schemas.microsoft.com/office/2006/metadata/customXsn">
  <xsnLocation/>
  <cached>True</cached>
  <openByDefault>True</openByDefault>
  <xsnScope/>
</customXsn>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C07BD54-4921-492B-84BA-13272B44FF52}">
  <ds:schemaRefs>
    <ds:schemaRef ds:uri="Microsoft.SharePoint.Taxonomy.ContentTypeSync"/>
  </ds:schemaRefs>
</ds:datastoreItem>
</file>

<file path=customXml/itemProps3.xml><?xml version="1.0" encoding="utf-8"?>
<ds:datastoreItem xmlns:ds="http://schemas.openxmlformats.org/officeDocument/2006/customXml" ds:itemID="{49856A2C-58A4-49E1-994A-FE32AB4B11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4523ce-dede-483e-883a-2d83261080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FC2BF7-908E-49FC-B5C3-B51837A0FE6A}">
  <ds:schemaRefs>
    <ds:schemaRef ds:uri="http://schemas.microsoft.com/sharepoint/events"/>
  </ds:schemaRefs>
</ds:datastoreItem>
</file>

<file path=customXml/itemProps5.xml><?xml version="1.0" encoding="utf-8"?>
<ds:datastoreItem xmlns:ds="http://schemas.openxmlformats.org/officeDocument/2006/customXml" ds:itemID="{5CC9AF69-D63D-4423-9A9F-10511A017204}">
  <ds:schemaRefs>
    <ds:schemaRef ds:uri="http://schemas.microsoft.com/office/2006/metadata/properties"/>
    <ds:schemaRef ds:uri="http://schemas.microsoft.com/office/infopath/2007/PartnerControls"/>
    <ds:schemaRef ds:uri="a14523ce-dede-483e-883a-2d83261080bd"/>
  </ds:schemaRefs>
</ds:datastoreItem>
</file>

<file path=customXml/itemProps6.xml><?xml version="1.0" encoding="utf-8"?>
<ds:datastoreItem xmlns:ds="http://schemas.openxmlformats.org/officeDocument/2006/customXml" ds:itemID="{0E350EE7-CEFB-48C1-AD07-F82DCB0C04F7}">
  <ds:schemaRefs>
    <ds:schemaRef ds:uri="http://schemas.microsoft.com/office/2006/metadata/customXsn"/>
  </ds:schemaRefs>
</ds:datastoreItem>
</file>

<file path=customXml/itemProps7.xml><?xml version="1.0" encoding="utf-8"?>
<ds:datastoreItem xmlns:ds="http://schemas.openxmlformats.org/officeDocument/2006/customXml" ds:itemID="{253F82A9-3B1B-403F-B6AB-7DC8254286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375</Words>
  <Characters>2140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Forum Agenda Item Overview Template</vt:lpstr>
    </vt:vector>
  </TitlesOfParts>
  <Company>AEMO</Company>
  <LinksUpToDate>false</LinksUpToDate>
  <CharactersWithSpaces>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Forum Agenda Item Overview Template</dc:title>
  <dc:subject/>
  <dc:creator>Clare Greenwood</dc:creator>
  <cp:keywords>##</cp:keywords>
  <dc:description/>
  <cp:lastModifiedBy>Hayley George</cp:lastModifiedBy>
  <cp:revision>2</cp:revision>
  <dcterms:created xsi:type="dcterms:W3CDTF">2018-06-05T03:49:00Z</dcterms:created>
  <dcterms:modified xsi:type="dcterms:W3CDTF">2018-06-05T03:49:00Z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0x0101009BE89D58CAF0934CA32A20BCFFD353DC006A892F1EADA45243BE081B459C8E0D98</vt:lpwstr>
  </property>
  <property fmtid="{D5CDD505-2E9C-101B-9397-08002B2CF9AE}" pid="3" name="_dlc_DocIdItemGuid">
    <vt:lpwstr>875941cb-ef5a-4855-9835-5ccebe725cd9</vt:lpwstr>
  </property>
  <property fmtid="{D5CDD505-2E9C-101B-9397-08002B2CF9AE}" pid="4" name="AEMODocumentType">
    <vt:lpwstr>1;#Operational Record|859762f2-4462-42eb-9744-c955c7e2c540</vt:lpwstr>
  </property>
  <property fmtid="{D5CDD505-2E9C-101B-9397-08002B2CF9AE}" pid="5" name="AEMOKeywords">
    <vt:lpwstr/>
  </property>
</Properties>
</file>